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014F" w14:textId="77777777" w:rsidR="00A34712" w:rsidRPr="008B1731" w:rsidRDefault="00601A44" w:rsidP="00B728F3">
      <w:pPr>
        <w:jc w:val="center"/>
        <w:rPr>
          <w:rFonts w:ascii="Times New Roman" w:hAnsi="Times New Roman"/>
        </w:rPr>
      </w:pPr>
      <w:r w:rsidRPr="008B1731">
        <w:rPr>
          <w:rFonts w:ascii="Times New Roman" w:hAnsi="Times New Roman"/>
          <w:b/>
          <w:i/>
          <w:sz w:val="28"/>
          <w:szCs w:val="28"/>
        </w:rPr>
        <w:t>CAFR</w:t>
      </w:r>
      <w:r w:rsidRPr="008B1731">
        <w:rPr>
          <w:rFonts w:ascii="Times New Roman" w:hAnsi="Times New Roman"/>
          <w:b/>
          <w:sz w:val="28"/>
          <w:szCs w:val="28"/>
        </w:rPr>
        <w:t xml:space="preserve"> Y</w:t>
      </w:r>
      <w:r w:rsidR="001F2972" w:rsidRPr="008B1731">
        <w:rPr>
          <w:rFonts w:ascii="Times New Roman" w:hAnsi="Times New Roman"/>
          <w:b/>
          <w:sz w:val="28"/>
          <w:szCs w:val="28"/>
        </w:rPr>
        <w:t>ear</w:t>
      </w:r>
      <w:r w:rsidR="00960F6F" w:rsidRPr="008B1731">
        <w:rPr>
          <w:rFonts w:ascii="Times New Roman" w:hAnsi="Times New Roman"/>
          <w:b/>
          <w:sz w:val="28"/>
          <w:szCs w:val="28"/>
        </w:rPr>
        <w:t>-</w:t>
      </w:r>
      <w:r w:rsidRPr="008B1731">
        <w:rPr>
          <w:rFonts w:ascii="Times New Roman" w:hAnsi="Times New Roman"/>
          <w:b/>
          <w:sz w:val="28"/>
          <w:szCs w:val="28"/>
        </w:rPr>
        <w:t>E</w:t>
      </w:r>
      <w:r w:rsidR="001F2972" w:rsidRPr="008B1731">
        <w:rPr>
          <w:rFonts w:ascii="Times New Roman" w:hAnsi="Times New Roman"/>
          <w:b/>
          <w:sz w:val="28"/>
          <w:szCs w:val="28"/>
        </w:rPr>
        <w:t>nd</w:t>
      </w:r>
      <w:r w:rsidRPr="008B1731">
        <w:rPr>
          <w:rFonts w:ascii="Times New Roman" w:hAnsi="Times New Roman"/>
          <w:b/>
          <w:sz w:val="28"/>
          <w:szCs w:val="28"/>
        </w:rPr>
        <w:t xml:space="preserve"> </w:t>
      </w:r>
      <w:r w:rsidR="00A34712" w:rsidRPr="008B1731">
        <w:rPr>
          <w:rFonts w:ascii="Times New Roman" w:hAnsi="Times New Roman"/>
          <w:b/>
          <w:sz w:val="28"/>
          <w:szCs w:val="28"/>
        </w:rPr>
        <w:t>R</w:t>
      </w:r>
      <w:r w:rsidR="001F2972" w:rsidRPr="008B1731">
        <w:rPr>
          <w:rFonts w:ascii="Times New Roman" w:hAnsi="Times New Roman"/>
          <w:b/>
          <w:sz w:val="28"/>
          <w:szCs w:val="28"/>
        </w:rPr>
        <w:t>eporting</w:t>
      </w:r>
      <w:r w:rsidR="00A34712" w:rsidRPr="008B1731">
        <w:rPr>
          <w:rFonts w:ascii="Times New Roman" w:hAnsi="Times New Roman"/>
          <w:b/>
          <w:sz w:val="28"/>
          <w:szCs w:val="28"/>
        </w:rPr>
        <w:t xml:space="preserve"> P</w:t>
      </w:r>
      <w:r w:rsidR="001F2972" w:rsidRPr="008B1731">
        <w:rPr>
          <w:rFonts w:ascii="Times New Roman" w:hAnsi="Times New Roman"/>
          <w:b/>
          <w:sz w:val="28"/>
          <w:szCs w:val="28"/>
        </w:rPr>
        <w:t>ackage</w:t>
      </w:r>
      <w:r w:rsidR="00A34712" w:rsidRPr="008B1731">
        <w:rPr>
          <w:rFonts w:ascii="Times New Roman" w:hAnsi="Times New Roman"/>
          <w:b/>
          <w:sz w:val="28"/>
          <w:szCs w:val="28"/>
        </w:rPr>
        <w:t xml:space="preserve"> R</w:t>
      </w:r>
      <w:r w:rsidR="001F2972" w:rsidRPr="008B1731">
        <w:rPr>
          <w:rFonts w:ascii="Times New Roman" w:hAnsi="Times New Roman"/>
          <w:b/>
          <w:sz w:val="28"/>
          <w:szCs w:val="28"/>
        </w:rPr>
        <w:t>eceipt</w:t>
      </w:r>
      <w:r w:rsidR="00A34712" w:rsidRPr="008B1731">
        <w:rPr>
          <w:rFonts w:ascii="Times New Roman" w:hAnsi="Times New Roman"/>
          <w:b/>
          <w:sz w:val="28"/>
          <w:szCs w:val="28"/>
        </w:rPr>
        <w:t xml:space="preserve"> C</w:t>
      </w:r>
      <w:r w:rsidR="001F2972" w:rsidRPr="008B1731">
        <w:rPr>
          <w:rFonts w:ascii="Times New Roman" w:hAnsi="Times New Roman"/>
          <w:b/>
          <w:sz w:val="28"/>
          <w:szCs w:val="28"/>
        </w:rPr>
        <w:t>onfirmation</w:t>
      </w:r>
    </w:p>
    <w:p w14:paraId="7EB0DF3B" w14:textId="77777777" w:rsidR="004B7702" w:rsidRPr="008B1731" w:rsidRDefault="004B7702" w:rsidP="00350F79">
      <w:pPr>
        <w:spacing w:after="0" w:line="240" w:lineRule="auto"/>
        <w:rPr>
          <w:rFonts w:ascii="Times New Roman" w:eastAsia="Times New Roman" w:hAnsi="Times New Roman"/>
        </w:rPr>
      </w:pPr>
      <w:r w:rsidRPr="008B1731">
        <w:rPr>
          <w:rFonts w:ascii="Times New Roman" w:eastAsia="Times New Roman" w:hAnsi="Times New Roman"/>
        </w:rPr>
        <w:t>Dear State of Georgia Reporting Organization,</w:t>
      </w:r>
    </w:p>
    <w:p w14:paraId="6270C8BA" w14:textId="77777777" w:rsidR="00350F79" w:rsidRPr="008B1731" w:rsidRDefault="00350F79" w:rsidP="00350F79">
      <w:pPr>
        <w:spacing w:after="0" w:line="240" w:lineRule="auto"/>
        <w:rPr>
          <w:rFonts w:ascii="Times New Roman" w:eastAsia="Times New Roman" w:hAnsi="Times New Roman"/>
          <w:sz w:val="12"/>
          <w:szCs w:val="12"/>
        </w:rPr>
      </w:pPr>
    </w:p>
    <w:p w14:paraId="1BD16FCC" w14:textId="77777777" w:rsidR="002F46FD" w:rsidRPr="0073472B" w:rsidRDefault="004B7702" w:rsidP="0073472B">
      <w:pPr>
        <w:spacing w:after="0" w:line="240" w:lineRule="auto"/>
        <w:jc w:val="both"/>
        <w:rPr>
          <w:rFonts w:ascii="Times New Roman" w:eastAsia="Times New Roman" w:hAnsi="Times New Roman"/>
        </w:rPr>
      </w:pPr>
      <w:r w:rsidRPr="0073472B">
        <w:rPr>
          <w:rFonts w:ascii="Times New Roman" w:eastAsia="Times New Roman" w:hAnsi="Times New Roman"/>
        </w:rPr>
        <w:t>Below is a list of forms, which are included in the year-end reporting package available for download on SAO’s website.</w:t>
      </w:r>
      <w:r w:rsidR="00245A34" w:rsidRPr="0073472B">
        <w:rPr>
          <w:rFonts w:ascii="Times New Roman" w:hAnsi="Times New Roman"/>
        </w:rPr>
        <w:t xml:space="preserve">  </w:t>
      </w:r>
      <w:r w:rsidRPr="0073472B">
        <w:rPr>
          <w:rFonts w:ascii="Times New Roman" w:eastAsia="Times New Roman" w:hAnsi="Times New Roman"/>
        </w:rPr>
        <w:t xml:space="preserve">We have created our </w:t>
      </w:r>
      <w:r w:rsidRPr="0073472B">
        <w:rPr>
          <w:rFonts w:ascii="Times New Roman" w:eastAsia="Times New Roman" w:hAnsi="Times New Roman"/>
          <w:i/>
        </w:rPr>
        <w:t>CAFR</w:t>
      </w:r>
      <w:r w:rsidRPr="0073472B">
        <w:rPr>
          <w:rFonts w:ascii="Times New Roman" w:eastAsia="Times New Roman" w:hAnsi="Times New Roman"/>
        </w:rPr>
        <w:t xml:space="preserve"> preparation schedule under the assumption that you will be able to provide us with the required forms by the listed due dates.  For organizations receiving a financial statement audit from an independent CPA firm, the SAO encourages you to complete the forms but they are not required.  For all remaining organizations you will be required to complete the forms applicable to the fund(s) in which your organization is included in the CAFR.</w:t>
      </w:r>
      <w:r w:rsidR="00245A34" w:rsidRPr="00245A34">
        <w:t xml:space="preserve"> </w:t>
      </w:r>
      <w:hyperlink r:id="rId7" w:history="1">
        <w:r w:rsidR="00245A34" w:rsidRPr="0073472B">
          <w:rPr>
            <w:rStyle w:val="Hyperlink"/>
            <w:rFonts w:ascii="Times New Roman" w:hAnsi="Times New Roman"/>
          </w:rPr>
          <w:t>http://sao.georgia.gov/year-end-forms</w:t>
        </w:r>
      </w:hyperlink>
    </w:p>
    <w:p w14:paraId="4CBAB1FC" w14:textId="77777777" w:rsidR="00D56A11" w:rsidRDefault="00D56A11" w:rsidP="00D56A11">
      <w:pPr>
        <w:jc w:val="center"/>
        <w:rPr>
          <w:rFonts w:ascii="Times New Roman" w:hAnsi="Times New Roman"/>
          <w:b/>
          <w:sz w:val="28"/>
          <w:szCs w:val="28"/>
        </w:rPr>
      </w:pPr>
    </w:p>
    <w:p w14:paraId="314AF853" w14:textId="77777777" w:rsidR="00D56A11" w:rsidRPr="008B1731" w:rsidRDefault="00D56A11" w:rsidP="00D56A11">
      <w:pPr>
        <w:jc w:val="center"/>
        <w:rPr>
          <w:rFonts w:ascii="Times New Roman" w:hAnsi="Times New Roman"/>
          <w:b/>
          <w:sz w:val="28"/>
          <w:szCs w:val="28"/>
        </w:rPr>
      </w:pPr>
      <w:r w:rsidRPr="008B1731">
        <w:rPr>
          <w:rFonts w:ascii="Times New Roman" w:hAnsi="Times New Roman"/>
          <w:b/>
          <w:sz w:val="28"/>
          <w:szCs w:val="28"/>
        </w:rPr>
        <w:t>Table of Contents for Year-End Reporting Package</w:t>
      </w:r>
    </w:p>
    <w:p w14:paraId="24255196" w14:textId="77777777" w:rsidR="00D56A11" w:rsidRPr="008B1731" w:rsidRDefault="00D56A11" w:rsidP="00D56A11">
      <w:pPr>
        <w:pStyle w:val="ListParagraph"/>
        <w:numPr>
          <w:ilvl w:val="0"/>
          <w:numId w:val="1"/>
        </w:numPr>
        <w:spacing w:line="360" w:lineRule="auto"/>
        <w:rPr>
          <w:rFonts w:ascii="Times New Roman" w:hAnsi="Times New Roman"/>
        </w:rPr>
      </w:pPr>
      <w:r w:rsidRPr="008B1731">
        <w:rPr>
          <w:rFonts w:ascii="Times New Roman" w:hAnsi="Times New Roman"/>
        </w:rPr>
        <w:t xml:space="preserve">Confirmation of Receipt of Year-End Reporting Package   </w:t>
      </w:r>
    </w:p>
    <w:p w14:paraId="46B79B44" w14:textId="77777777" w:rsidR="00D56A11" w:rsidRPr="008B1731" w:rsidRDefault="00D56A11" w:rsidP="00D56A11">
      <w:pPr>
        <w:pStyle w:val="ListParagraph"/>
        <w:numPr>
          <w:ilvl w:val="0"/>
          <w:numId w:val="1"/>
        </w:numPr>
        <w:spacing w:line="360" w:lineRule="auto"/>
        <w:rPr>
          <w:rFonts w:ascii="Times New Roman" w:hAnsi="Times New Roman"/>
        </w:rPr>
      </w:pPr>
      <w:r w:rsidRPr="008B1731">
        <w:rPr>
          <w:rFonts w:ascii="Times New Roman" w:hAnsi="Times New Roman"/>
        </w:rPr>
        <w:t>Introductory Comments</w:t>
      </w:r>
    </w:p>
    <w:p w14:paraId="0CCC6D40" w14:textId="77777777" w:rsidR="00D56A11" w:rsidRPr="008B1731" w:rsidRDefault="00D56A11" w:rsidP="00D56A11">
      <w:pPr>
        <w:pStyle w:val="ListParagraph"/>
        <w:numPr>
          <w:ilvl w:val="0"/>
          <w:numId w:val="1"/>
        </w:numPr>
        <w:spacing w:line="360" w:lineRule="auto"/>
        <w:rPr>
          <w:rFonts w:ascii="Times New Roman" w:hAnsi="Times New Roman"/>
        </w:rPr>
      </w:pPr>
      <w:r w:rsidRPr="008B1731">
        <w:rPr>
          <w:rFonts w:ascii="Times New Roman" w:hAnsi="Times New Roman"/>
        </w:rPr>
        <w:t xml:space="preserve">Year-End Closing Overview </w:t>
      </w:r>
    </w:p>
    <w:p w14:paraId="1987F928" w14:textId="77777777" w:rsidR="00D56A11" w:rsidRPr="008B1731" w:rsidRDefault="00D56A11" w:rsidP="00D56A11">
      <w:pPr>
        <w:pStyle w:val="ListParagraph"/>
        <w:numPr>
          <w:ilvl w:val="0"/>
          <w:numId w:val="1"/>
        </w:numPr>
        <w:spacing w:line="360" w:lineRule="auto"/>
        <w:rPr>
          <w:rFonts w:ascii="Times New Roman" w:hAnsi="Times New Roman"/>
        </w:rPr>
      </w:pPr>
      <w:r w:rsidRPr="008B1731">
        <w:rPr>
          <w:rFonts w:ascii="Times New Roman" w:hAnsi="Times New Roman"/>
        </w:rPr>
        <w:t xml:space="preserve">Management Representation Letter    </w:t>
      </w:r>
    </w:p>
    <w:p w14:paraId="106E4342" w14:textId="77777777" w:rsidR="00D56A11" w:rsidRDefault="00D56A11" w:rsidP="00D56A11">
      <w:pPr>
        <w:pStyle w:val="ListParagraph"/>
        <w:numPr>
          <w:ilvl w:val="0"/>
          <w:numId w:val="1"/>
        </w:numPr>
        <w:spacing w:line="360" w:lineRule="auto"/>
        <w:rPr>
          <w:rFonts w:ascii="Times New Roman" w:hAnsi="Times New Roman"/>
        </w:rPr>
      </w:pPr>
      <w:r w:rsidRPr="008B1731">
        <w:rPr>
          <w:rFonts w:ascii="Times New Roman" w:hAnsi="Times New Roman"/>
        </w:rPr>
        <w:t xml:space="preserve">Forms available for download on SAO’s website at: </w:t>
      </w:r>
      <w:hyperlink r:id="rId8" w:history="1">
        <w:r w:rsidRPr="00314ACA">
          <w:rPr>
            <w:rStyle w:val="Hyperlink"/>
            <w:rFonts w:ascii="Times New Roman" w:hAnsi="Times New Roman"/>
          </w:rPr>
          <w:t>http://sao.georgia.gov/year-end-forms</w:t>
        </w:r>
      </w:hyperlink>
    </w:p>
    <w:p w14:paraId="7116F8A4"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Allowance for Doubtful Accounts</w:t>
      </w:r>
    </w:p>
    <w:p w14:paraId="194D983A"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Appropriations Receivable Reconciliation</w:t>
      </w:r>
    </w:p>
    <w:p w14:paraId="50D5AB3B"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Capital Assets/Depreciation/Construction in Progress (CIP)</w:t>
      </w:r>
    </w:p>
    <w:p w14:paraId="3016DF2F"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 xml:space="preserve">Cash and Deposits </w:t>
      </w:r>
    </w:p>
    <w:p w14:paraId="787CE55D"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CPA and DOAA Audited Cash and Investments</w:t>
      </w:r>
    </w:p>
    <w:p w14:paraId="6A781213"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General Information</w:t>
      </w:r>
    </w:p>
    <w:p w14:paraId="1B5A5552" w14:textId="77777777" w:rsidR="00D56A11" w:rsidRPr="008B1731" w:rsidRDefault="00D56A11" w:rsidP="00D56A11">
      <w:pPr>
        <w:pStyle w:val="ListParagraph"/>
        <w:numPr>
          <w:ilvl w:val="1"/>
          <w:numId w:val="21"/>
        </w:numPr>
        <w:spacing w:line="360" w:lineRule="auto"/>
        <w:rPr>
          <w:rFonts w:ascii="Times New Roman" w:hAnsi="Times New Roman"/>
        </w:rPr>
      </w:pPr>
      <w:proofErr w:type="spellStart"/>
      <w:r w:rsidRPr="008B1731">
        <w:rPr>
          <w:rFonts w:ascii="Times New Roman" w:hAnsi="Times New Roman"/>
        </w:rPr>
        <w:t>Interorganization</w:t>
      </w:r>
      <w:proofErr w:type="spellEnd"/>
      <w:r w:rsidRPr="008B1731">
        <w:rPr>
          <w:rFonts w:ascii="Times New Roman" w:hAnsi="Times New Roman"/>
        </w:rPr>
        <w:t xml:space="preserve"> Transactions (Due To/Due </w:t>
      </w:r>
      <w:proofErr w:type="gramStart"/>
      <w:r w:rsidRPr="008B1731">
        <w:rPr>
          <w:rFonts w:ascii="Times New Roman" w:hAnsi="Times New Roman"/>
        </w:rPr>
        <w:t>From</w:t>
      </w:r>
      <w:proofErr w:type="gramEnd"/>
      <w:r w:rsidRPr="008B1731">
        <w:rPr>
          <w:rFonts w:ascii="Times New Roman" w:hAnsi="Times New Roman"/>
        </w:rPr>
        <w:t xml:space="preserve"> Activity)</w:t>
      </w:r>
    </w:p>
    <w:p w14:paraId="7387EC46" w14:textId="77777777" w:rsidR="00D56A1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Investments</w:t>
      </w:r>
    </w:p>
    <w:p w14:paraId="40803031" w14:textId="77777777" w:rsidR="00D56A11" w:rsidRPr="008B1731" w:rsidRDefault="00D56A11" w:rsidP="00D56A11">
      <w:pPr>
        <w:pStyle w:val="ListParagraph"/>
        <w:numPr>
          <w:ilvl w:val="1"/>
          <w:numId w:val="21"/>
        </w:numPr>
        <w:spacing w:line="360" w:lineRule="auto"/>
        <w:rPr>
          <w:rFonts w:ascii="Times New Roman" w:hAnsi="Times New Roman"/>
        </w:rPr>
      </w:pPr>
      <w:r>
        <w:rPr>
          <w:rFonts w:ascii="Times New Roman" w:hAnsi="Times New Roman"/>
        </w:rPr>
        <w:t>SEFA Reconciliation Form</w:t>
      </w:r>
    </w:p>
    <w:p w14:paraId="10C59DE6"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 xml:space="preserve">Lease Agreement Data </w:t>
      </w:r>
    </w:p>
    <w:p w14:paraId="084728B8"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Long Term Liabilities (Debt)</w:t>
      </w:r>
    </w:p>
    <w:p w14:paraId="2CF1DC1C"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Not Applicable Form</w:t>
      </w:r>
    </w:p>
    <w:p w14:paraId="5595D9AA"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Pollution Remediation (GASB 49)</w:t>
      </w:r>
    </w:p>
    <w:p w14:paraId="70CC3123" w14:textId="77777777" w:rsidR="00D56A11" w:rsidRPr="008B1731" w:rsidRDefault="00D56A11" w:rsidP="00D56A11">
      <w:pPr>
        <w:pStyle w:val="ListParagraph"/>
        <w:numPr>
          <w:ilvl w:val="1"/>
          <w:numId w:val="21"/>
        </w:numPr>
        <w:spacing w:line="360" w:lineRule="auto"/>
        <w:rPr>
          <w:rFonts w:ascii="Times New Roman" w:hAnsi="Times New Roman"/>
        </w:rPr>
      </w:pPr>
      <w:proofErr w:type="spellStart"/>
      <w:r w:rsidRPr="008B1731">
        <w:rPr>
          <w:rFonts w:ascii="Times New Roman" w:hAnsi="Times New Roman"/>
        </w:rPr>
        <w:t>Post Closing</w:t>
      </w:r>
      <w:proofErr w:type="spellEnd"/>
      <w:r w:rsidRPr="008B1731">
        <w:rPr>
          <w:rFonts w:ascii="Times New Roman" w:hAnsi="Times New Roman"/>
        </w:rPr>
        <w:t xml:space="preserve"> Adjustments</w:t>
      </w:r>
    </w:p>
    <w:p w14:paraId="6485F882" w14:textId="77777777" w:rsidR="00154C0F" w:rsidRDefault="00D56A11" w:rsidP="00112912">
      <w:pPr>
        <w:pStyle w:val="ListParagraph"/>
        <w:numPr>
          <w:ilvl w:val="1"/>
          <w:numId w:val="21"/>
        </w:numPr>
        <w:spacing w:line="360" w:lineRule="auto"/>
        <w:rPr>
          <w:rFonts w:ascii="Times New Roman" w:hAnsi="Times New Roman"/>
        </w:rPr>
      </w:pPr>
      <w:r w:rsidRPr="00154C0F">
        <w:rPr>
          <w:rFonts w:ascii="Times New Roman" w:hAnsi="Times New Roman"/>
        </w:rPr>
        <w:t xml:space="preserve">Deferred Outflows &amp; Inflows of Resources and Nonexchange Financial Guarantees </w:t>
      </w:r>
    </w:p>
    <w:p w14:paraId="029B898B" w14:textId="77777777" w:rsidR="00D56A11" w:rsidRPr="00154C0F" w:rsidRDefault="00D56A11" w:rsidP="00112912">
      <w:pPr>
        <w:pStyle w:val="ListParagraph"/>
        <w:numPr>
          <w:ilvl w:val="1"/>
          <w:numId w:val="21"/>
        </w:numPr>
        <w:spacing w:line="360" w:lineRule="auto"/>
        <w:rPr>
          <w:rFonts w:ascii="Times New Roman" w:hAnsi="Times New Roman"/>
        </w:rPr>
      </w:pPr>
      <w:r w:rsidRPr="00154C0F">
        <w:rPr>
          <w:rFonts w:ascii="Times New Roman" w:hAnsi="Times New Roman"/>
        </w:rPr>
        <w:t>Revenue Based on Encumbrances</w:t>
      </w:r>
    </w:p>
    <w:p w14:paraId="23F845B5"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SAMPLE Fund Balance Appropriated (BCR)</w:t>
      </w:r>
    </w:p>
    <w:p w14:paraId="0696EAAE" w14:textId="77777777" w:rsidR="00D56A11" w:rsidRPr="008B173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Classification of Revenues (Statement of Activities)</w:t>
      </w:r>
    </w:p>
    <w:p w14:paraId="66B5C8FC" w14:textId="4D401306" w:rsidR="00D56A1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Service Concession Arrangements (GASB 60)</w:t>
      </w:r>
    </w:p>
    <w:p w14:paraId="2E26A200" w14:textId="77777777" w:rsidR="00D230F2" w:rsidRPr="008B1731" w:rsidRDefault="00D230F2" w:rsidP="00D230F2">
      <w:pPr>
        <w:pStyle w:val="ListParagraph"/>
        <w:spacing w:line="360" w:lineRule="auto"/>
        <w:ind w:left="1440"/>
        <w:rPr>
          <w:rFonts w:ascii="Times New Roman" w:hAnsi="Times New Roman"/>
        </w:rPr>
      </w:pPr>
    </w:p>
    <w:p w14:paraId="66EC5917" w14:textId="77777777" w:rsidR="00D56A1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Subsequent Events</w:t>
      </w:r>
    </w:p>
    <w:p w14:paraId="1422B6A1" w14:textId="77777777" w:rsidR="00D56A11" w:rsidRPr="008B1731" w:rsidRDefault="00D56A11" w:rsidP="00D56A11">
      <w:pPr>
        <w:pStyle w:val="ListParagraph"/>
        <w:numPr>
          <w:ilvl w:val="1"/>
          <w:numId w:val="21"/>
        </w:numPr>
        <w:spacing w:line="360" w:lineRule="auto"/>
        <w:rPr>
          <w:rFonts w:ascii="Times New Roman" w:hAnsi="Times New Roman"/>
        </w:rPr>
      </w:pPr>
      <w:r>
        <w:rPr>
          <w:rFonts w:ascii="Times New Roman" w:hAnsi="Times New Roman"/>
        </w:rPr>
        <w:t>Subsequent Events – Single Audit</w:t>
      </w:r>
    </w:p>
    <w:p w14:paraId="12C4E7DA" w14:textId="77777777" w:rsidR="00D56A11" w:rsidRDefault="00D56A11" w:rsidP="00D56A11">
      <w:pPr>
        <w:pStyle w:val="ListParagraph"/>
        <w:numPr>
          <w:ilvl w:val="1"/>
          <w:numId w:val="21"/>
        </w:numPr>
        <w:spacing w:line="360" w:lineRule="auto"/>
        <w:rPr>
          <w:rFonts w:ascii="Times New Roman" w:hAnsi="Times New Roman"/>
        </w:rPr>
      </w:pPr>
      <w:r w:rsidRPr="008B1731">
        <w:rPr>
          <w:rFonts w:ascii="Times New Roman" w:hAnsi="Times New Roman"/>
        </w:rPr>
        <w:t>Year-end Questionnaire</w:t>
      </w:r>
    </w:p>
    <w:p w14:paraId="26FF53DD" w14:textId="77777777" w:rsidR="00D56A11" w:rsidRDefault="00D56A11" w:rsidP="00D56A11">
      <w:pPr>
        <w:pStyle w:val="ListParagraph"/>
        <w:numPr>
          <w:ilvl w:val="1"/>
          <w:numId w:val="21"/>
        </w:numPr>
        <w:spacing w:line="360" w:lineRule="auto"/>
        <w:rPr>
          <w:rFonts w:ascii="Times New Roman" w:hAnsi="Times New Roman"/>
        </w:rPr>
      </w:pPr>
      <w:r>
        <w:rPr>
          <w:rFonts w:ascii="Times New Roman" w:hAnsi="Times New Roman"/>
        </w:rPr>
        <w:t xml:space="preserve">Unrecorded Receivables &amp; Payables </w:t>
      </w:r>
    </w:p>
    <w:p w14:paraId="2C410B92" w14:textId="77777777" w:rsidR="002F46FD" w:rsidRDefault="002F46FD" w:rsidP="004B7702">
      <w:pPr>
        <w:spacing w:after="0" w:line="240" w:lineRule="auto"/>
        <w:jc w:val="both"/>
        <w:rPr>
          <w:rFonts w:ascii="Times New Roman" w:eastAsia="Times New Roman" w:hAnsi="Times New Roman"/>
        </w:rPr>
      </w:pPr>
    </w:p>
    <w:p w14:paraId="5665A20D" w14:textId="77777777" w:rsidR="00E6086C" w:rsidRPr="00103014" w:rsidRDefault="002F46FD" w:rsidP="004B7702">
      <w:pPr>
        <w:spacing w:after="0" w:line="240" w:lineRule="auto"/>
        <w:jc w:val="both"/>
        <w:rPr>
          <w:rFonts w:ascii="Times New Roman" w:eastAsia="Times New Roman" w:hAnsi="Times New Roman"/>
        </w:rPr>
      </w:pPr>
      <w:r w:rsidRPr="00103014">
        <w:rPr>
          <w:rFonts w:ascii="Times New Roman" w:eastAsia="Times New Roman" w:hAnsi="Times New Roman"/>
        </w:rPr>
        <w:t xml:space="preserve">As per O.C.G.A. code citation §50-5B-4, Obligations of state government organizations with respect to the state accounting officer, all organizations of state government and </w:t>
      </w:r>
      <w:r w:rsidR="00E6086C" w:rsidRPr="00103014">
        <w:rPr>
          <w:rFonts w:ascii="Times New Roman" w:eastAsia="Times New Roman" w:hAnsi="Times New Roman"/>
        </w:rPr>
        <w:t>all officers, agents, and employees thereof shall:</w:t>
      </w:r>
    </w:p>
    <w:p w14:paraId="1406A78A" w14:textId="77777777" w:rsidR="00E6086C" w:rsidRPr="00103014" w:rsidRDefault="00E6086C" w:rsidP="004B7702">
      <w:pPr>
        <w:spacing w:after="0" w:line="240" w:lineRule="auto"/>
        <w:jc w:val="both"/>
        <w:rPr>
          <w:rFonts w:ascii="Times New Roman" w:eastAsia="Times New Roman" w:hAnsi="Times New Roman"/>
        </w:rPr>
      </w:pPr>
    </w:p>
    <w:p w14:paraId="5E56124D" w14:textId="77777777" w:rsidR="00E6086C" w:rsidRPr="00103014" w:rsidRDefault="00E6086C" w:rsidP="00E6086C">
      <w:pPr>
        <w:numPr>
          <w:ilvl w:val="0"/>
          <w:numId w:val="19"/>
        </w:numPr>
        <w:spacing w:after="0" w:line="240" w:lineRule="auto"/>
        <w:jc w:val="both"/>
        <w:rPr>
          <w:rFonts w:ascii="Times New Roman" w:eastAsia="Times New Roman" w:hAnsi="Times New Roman"/>
        </w:rPr>
      </w:pPr>
      <w:r w:rsidRPr="00103014">
        <w:rPr>
          <w:rFonts w:ascii="Times New Roman" w:eastAsia="Times New Roman" w:hAnsi="Times New Roman"/>
        </w:rPr>
        <w:t>conform and comply with the rules, regulations, policies, procedures and forms devised, promulgated, and installed by the state accounting officer</w:t>
      </w:r>
    </w:p>
    <w:p w14:paraId="27090484" w14:textId="77777777" w:rsidR="00E6086C" w:rsidRPr="00103014" w:rsidRDefault="00E6086C" w:rsidP="00CA4D60">
      <w:pPr>
        <w:spacing w:after="0" w:line="240" w:lineRule="auto"/>
        <w:ind w:firstLine="720"/>
        <w:jc w:val="both"/>
        <w:rPr>
          <w:rFonts w:ascii="Times New Roman" w:eastAsia="Times New Roman" w:hAnsi="Times New Roman"/>
        </w:rPr>
      </w:pPr>
      <w:r w:rsidRPr="00103014">
        <w:rPr>
          <w:rFonts w:ascii="Times New Roman" w:eastAsia="Times New Roman" w:hAnsi="Times New Roman"/>
        </w:rPr>
        <w:t>and</w:t>
      </w:r>
    </w:p>
    <w:p w14:paraId="1FFF0F0D" w14:textId="77777777" w:rsidR="004B7702" w:rsidRPr="00103014" w:rsidRDefault="00E6086C" w:rsidP="00E6086C">
      <w:pPr>
        <w:numPr>
          <w:ilvl w:val="0"/>
          <w:numId w:val="19"/>
        </w:numPr>
        <w:spacing w:after="0" w:line="240" w:lineRule="auto"/>
        <w:jc w:val="both"/>
        <w:rPr>
          <w:rFonts w:ascii="Times New Roman" w:eastAsia="Times New Roman" w:hAnsi="Times New Roman"/>
        </w:rPr>
      </w:pPr>
      <w:r w:rsidRPr="00103014">
        <w:rPr>
          <w:rFonts w:ascii="Times New Roman" w:eastAsia="Times New Roman" w:hAnsi="Times New Roman"/>
        </w:rPr>
        <w:t>submit statements, reports, information, and data necessary to enable the state accounting officer to complete the reports required in this Code Section and Code Section 50-5B-3.</w:t>
      </w:r>
      <w:r w:rsidR="004B7702" w:rsidRPr="00103014">
        <w:rPr>
          <w:rFonts w:ascii="Times New Roman" w:eastAsia="Times New Roman" w:hAnsi="Times New Roman"/>
        </w:rPr>
        <w:t xml:space="preserve">  </w:t>
      </w:r>
    </w:p>
    <w:p w14:paraId="16F12A0F" w14:textId="77777777" w:rsidR="004B7702" w:rsidRPr="008B1731" w:rsidRDefault="004B7702" w:rsidP="004B7702">
      <w:pPr>
        <w:spacing w:after="0" w:line="240" w:lineRule="auto"/>
        <w:jc w:val="both"/>
        <w:rPr>
          <w:rFonts w:ascii="Times New Roman" w:eastAsia="Times New Roman" w:hAnsi="Times New Roman"/>
          <w:sz w:val="16"/>
          <w:szCs w:val="16"/>
        </w:rPr>
      </w:pPr>
    </w:p>
    <w:p w14:paraId="3CE74E1A" w14:textId="77777777" w:rsidR="004B7702" w:rsidRPr="008B1731" w:rsidRDefault="004B7702" w:rsidP="004B7702">
      <w:pPr>
        <w:spacing w:after="0" w:line="240" w:lineRule="auto"/>
        <w:jc w:val="both"/>
        <w:rPr>
          <w:rFonts w:ascii="Times New Roman" w:eastAsia="Times New Roman" w:hAnsi="Times New Roman"/>
          <w:b/>
          <w:sz w:val="20"/>
        </w:rPr>
      </w:pPr>
      <w:r w:rsidRPr="008B1731">
        <w:rPr>
          <w:rFonts w:ascii="Times New Roman" w:eastAsia="Times New Roman" w:hAnsi="Times New Roman"/>
          <w:b/>
          <w:color w:val="FF0000"/>
        </w:rPr>
        <w:t>For details of which forms are required by org</w:t>
      </w:r>
      <w:r w:rsidR="00B728F3" w:rsidRPr="008B1731">
        <w:rPr>
          <w:rFonts w:ascii="Times New Roman" w:eastAsia="Times New Roman" w:hAnsi="Times New Roman"/>
          <w:b/>
          <w:color w:val="FF0000"/>
        </w:rPr>
        <w:t>anization</w:t>
      </w:r>
      <w:r w:rsidR="00E1791E">
        <w:rPr>
          <w:rFonts w:ascii="Times New Roman" w:eastAsia="Times New Roman" w:hAnsi="Times New Roman"/>
          <w:b/>
          <w:color w:val="FF0000"/>
        </w:rPr>
        <w:t xml:space="preserve"> and applicable due dates</w:t>
      </w:r>
      <w:r w:rsidR="00B728F3" w:rsidRPr="008B1731">
        <w:rPr>
          <w:rFonts w:ascii="Times New Roman" w:eastAsia="Times New Roman" w:hAnsi="Times New Roman"/>
          <w:b/>
          <w:color w:val="FF0000"/>
        </w:rPr>
        <w:t>, please refer to the “</w:t>
      </w:r>
      <w:r w:rsidRPr="008B1731">
        <w:rPr>
          <w:rFonts w:ascii="Times New Roman" w:eastAsia="Times New Roman" w:hAnsi="Times New Roman"/>
          <w:b/>
          <w:color w:val="FF0000"/>
        </w:rPr>
        <w:t>Forms Due By Entity” file.</w:t>
      </w:r>
      <w:r w:rsidRPr="008B1731">
        <w:rPr>
          <w:rFonts w:ascii="Times New Roman" w:eastAsia="Times New Roman" w:hAnsi="Times New Roman"/>
          <w:b/>
          <w:sz w:val="20"/>
        </w:rPr>
        <w:t xml:space="preserve"> </w:t>
      </w:r>
    </w:p>
    <w:p w14:paraId="10AC0E52" w14:textId="77777777" w:rsidR="004B7702" w:rsidRPr="008B1731" w:rsidRDefault="004B7702" w:rsidP="004B7702">
      <w:pPr>
        <w:spacing w:after="0" w:line="240" w:lineRule="auto"/>
        <w:rPr>
          <w:rFonts w:ascii="Times New Roman" w:eastAsia="Times New Roman" w:hAnsi="Times New Roman"/>
          <w:sz w:val="16"/>
          <w:szCs w:val="16"/>
        </w:rPr>
      </w:pPr>
    </w:p>
    <w:p w14:paraId="33AE0F38" w14:textId="77777777" w:rsidR="004B7702" w:rsidRPr="00E6086C" w:rsidRDefault="004B7702" w:rsidP="004B7702">
      <w:pPr>
        <w:spacing w:after="0" w:line="240" w:lineRule="auto"/>
        <w:rPr>
          <w:rFonts w:ascii="Times New Roman" w:eastAsia="Times New Roman" w:hAnsi="Times New Roman"/>
          <w:b/>
          <w:color w:val="FF0000"/>
        </w:rPr>
      </w:pPr>
      <w:r w:rsidRPr="008B1731">
        <w:rPr>
          <w:rFonts w:ascii="Times New Roman" w:eastAsia="Times New Roman" w:hAnsi="Times New Roman"/>
        </w:rPr>
        <w:t>Thank you for your assistance and please contact us if you have any questions.</w:t>
      </w:r>
    </w:p>
    <w:p w14:paraId="378AB05C" w14:textId="77777777" w:rsidR="004B7702" w:rsidRPr="008B1731" w:rsidRDefault="004B7702" w:rsidP="004B7702">
      <w:pPr>
        <w:spacing w:after="0" w:line="240" w:lineRule="auto"/>
        <w:rPr>
          <w:rFonts w:ascii="Times New Roman" w:eastAsia="Times New Roman" w:hAnsi="Times New Roman"/>
          <w:sz w:val="16"/>
          <w:szCs w:val="16"/>
        </w:rPr>
      </w:pPr>
    </w:p>
    <w:p w14:paraId="5E9C8B2B" w14:textId="77777777" w:rsidR="004B7702" w:rsidRPr="008B1731" w:rsidRDefault="004B7702" w:rsidP="0077605E">
      <w:pPr>
        <w:spacing w:after="0" w:line="240" w:lineRule="auto"/>
        <w:jc w:val="center"/>
        <w:rPr>
          <w:rFonts w:ascii="Times New Roman" w:eastAsia="Times New Roman" w:hAnsi="Times New Roman"/>
          <w:sz w:val="10"/>
          <w:szCs w:val="10"/>
        </w:rPr>
      </w:pPr>
    </w:p>
    <w:p w14:paraId="3693D0FB" w14:textId="77777777" w:rsidR="00D43275" w:rsidRDefault="00D43275" w:rsidP="004B7702">
      <w:pPr>
        <w:spacing w:after="0" w:line="240" w:lineRule="auto"/>
        <w:rPr>
          <w:rFonts w:ascii="Times New Roman" w:eastAsia="Times New Roman" w:hAnsi="Times New Roman"/>
          <w:sz w:val="20"/>
        </w:rPr>
      </w:pPr>
    </w:p>
    <w:p w14:paraId="5FC4F749" w14:textId="17529E09" w:rsidR="004B7702" w:rsidRPr="002F46FD" w:rsidRDefault="004B7702" w:rsidP="004B7702">
      <w:pPr>
        <w:spacing w:after="0" w:line="240" w:lineRule="auto"/>
        <w:rPr>
          <w:rFonts w:ascii="Times New Roman" w:hAnsi="Times New Roman"/>
          <w:b/>
          <w:color w:val="FF0000"/>
          <w:sz w:val="24"/>
          <w:szCs w:val="24"/>
        </w:rPr>
      </w:pPr>
      <w:r w:rsidRPr="008B1731">
        <w:rPr>
          <w:rFonts w:ascii="Times New Roman" w:eastAsia="Times New Roman" w:hAnsi="Times New Roman"/>
          <w:sz w:val="24"/>
          <w:szCs w:val="24"/>
        </w:rPr>
        <w:t xml:space="preserve">Please return this form indicating you have received this year-end memo and are aware the year-end forms are available on SAO’s website to </w:t>
      </w:r>
      <w:hyperlink r:id="rId9" w:history="1">
        <w:r w:rsidRPr="008B1731">
          <w:rPr>
            <w:rStyle w:val="Hyperlink"/>
            <w:rFonts w:ascii="Times New Roman" w:eastAsia="Times New Roman" w:hAnsi="Times New Roman"/>
            <w:sz w:val="24"/>
            <w:szCs w:val="24"/>
          </w:rPr>
          <w:t>SAO_Reporting@sao.ga.gov</w:t>
        </w:r>
      </w:hyperlink>
      <w:r w:rsidR="00103014">
        <w:rPr>
          <w:rFonts w:ascii="Times New Roman" w:eastAsia="Times New Roman" w:hAnsi="Times New Roman"/>
          <w:sz w:val="24"/>
          <w:szCs w:val="24"/>
        </w:rPr>
        <w:t xml:space="preserve"> no later </w:t>
      </w:r>
      <w:r w:rsidR="00103014" w:rsidRPr="00103014">
        <w:rPr>
          <w:rFonts w:ascii="Times New Roman" w:eastAsia="Times New Roman" w:hAnsi="Times New Roman"/>
          <w:sz w:val="24"/>
          <w:szCs w:val="24"/>
        </w:rPr>
        <w:t>than</w:t>
      </w:r>
      <w:r w:rsidR="002F46FD" w:rsidRPr="00103014">
        <w:rPr>
          <w:rFonts w:ascii="Times New Roman" w:eastAsia="Times New Roman" w:hAnsi="Times New Roman"/>
          <w:b/>
          <w:color w:val="FF0000"/>
          <w:sz w:val="24"/>
          <w:szCs w:val="24"/>
        </w:rPr>
        <w:t xml:space="preserve"> </w:t>
      </w:r>
      <w:r w:rsidRPr="00D230F2">
        <w:rPr>
          <w:rFonts w:ascii="Times New Roman" w:eastAsia="Times New Roman" w:hAnsi="Times New Roman"/>
          <w:b/>
          <w:sz w:val="24"/>
          <w:szCs w:val="24"/>
        </w:rPr>
        <w:t xml:space="preserve">July </w:t>
      </w:r>
      <w:r w:rsidR="00D230F2" w:rsidRPr="00D230F2">
        <w:rPr>
          <w:rFonts w:ascii="Times New Roman" w:eastAsia="Times New Roman" w:hAnsi="Times New Roman"/>
          <w:b/>
          <w:sz w:val="24"/>
          <w:szCs w:val="24"/>
        </w:rPr>
        <w:t>5</w:t>
      </w:r>
      <w:r w:rsidR="00D563A4" w:rsidRPr="00D230F2">
        <w:rPr>
          <w:rFonts w:ascii="Times New Roman" w:eastAsia="Times New Roman" w:hAnsi="Times New Roman"/>
          <w:b/>
          <w:sz w:val="24"/>
          <w:szCs w:val="24"/>
        </w:rPr>
        <w:t>, 201</w:t>
      </w:r>
      <w:r w:rsidR="00715432" w:rsidRPr="00D230F2">
        <w:rPr>
          <w:rFonts w:ascii="Times New Roman" w:eastAsia="Times New Roman" w:hAnsi="Times New Roman"/>
          <w:b/>
          <w:sz w:val="24"/>
          <w:szCs w:val="24"/>
        </w:rPr>
        <w:t>9</w:t>
      </w:r>
      <w:r w:rsidRPr="00DC01CC">
        <w:rPr>
          <w:rFonts w:ascii="Times New Roman" w:eastAsia="Times New Roman" w:hAnsi="Times New Roman"/>
          <w:sz w:val="24"/>
          <w:szCs w:val="24"/>
        </w:rPr>
        <w:t>.</w:t>
      </w:r>
      <w:r w:rsidR="002F46FD">
        <w:rPr>
          <w:rFonts w:ascii="Times New Roman" w:eastAsia="Times New Roman" w:hAnsi="Times New Roman"/>
          <w:sz w:val="24"/>
          <w:szCs w:val="24"/>
        </w:rPr>
        <w:t xml:space="preserve"> </w:t>
      </w:r>
    </w:p>
    <w:p w14:paraId="224F9E03" w14:textId="77777777" w:rsidR="004B7702" w:rsidRPr="008B1731" w:rsidRDefault="004B7702" w:rsidP="004B7702">
      <w:pPr>
        <w:spacing w:after="0" w:line="240" w:lineRule="auto"/>
        <w:rPr>
          <w:rFonts w:ascii="Times New Roman" w:eastAsia="Times New Roman" w:hAnsi="Times New Roman"/>
          <w:sz w:val="16"/>
          <w:szCs w:val="16"/>
        </w:rPr>
      </w:pPr>
    </w:p>
    <w:p w14:paraId="636DA18B" w14:textId="77777777" w:rsidR="004B7702" w:rsidRPr="008B1731" w:rsidRDefault="004B7702" w:rsidP="004B7702">
      <w:pPr>
        <w:spacing w:after="0" w:line="240" w:lineRule="auto"/>
        <w:rPr>
          <w:rFonts w:ascii="Times New Roman" w:eastAsia="Times New Roman" w:hAnsi="Times New Roman"/>
        </w:rPr>
      </w:pPr>
      <w:r w:rsidRPr="008B1731">
        <w:rPr>
          <w:rFonts w:ascii="Times New Roman" w:eastAsia="Times New Roman" w:hAnsi="Times New Roman"/>
        </w:rPr>
        <w:t>Submitted by:</w:t>
      </w:r>
    </w:p>
    <w:p w14:paraId="7FDB4422" w14:textId="77777777" w:rsidR="004B7702" w:rsidRPr="008B1731" w:rsidRDefault="004B7702" w:rsidP="004B7702">
      <w:pPr>
        <w:spacing w:after="0" w:line="240" w:lineRule="auto"/>
        <w:rPr>
          <w:rFonts w:ascii="Times New Roman" w:eastAsia="Times New Roman" w:hAnsi="Times New Roman"/>
        </w:rPr>
      </w:pPr>
      <w:r w:rsidRPr="008B1731">
        <w:rPr>
          <w:rFonts w:ascii="Times New Roman" w:eastAsia="Times New Roman" w:hAnsi="Times New Roman"/>
        </w:rPr>
        <w:t>Organization</w:t>
      </w:r>
      <w:r w:rsidRPr="008B1731">
        <w:rPr>
          <w:rFonts w:ascii="Times New Roman" w:eastAsia="Times New Roman" w:hAnsi="Times New Roman"/>
        </w:rPr>
        <w:tab/>
        <w:t>_________________________</w:t>
      </w:r>
      <w:r w:rsidRPr="008B1731">
        <w:rPr>
          <w:rFonts w:ascii="Times New Roman" w:eastAsia="Times New Roman" w:hAnsi="Times New Roman"/>
        </w:rPr>
        <w:tab/>
      </w:r>
      <w:r w:rsidRPr="008B1731">
        <w:rPr>
          <w:rFonts w:ascii="Times New Roman" w:eastAsia="Times New Roman" w:hAnsi="Times New Roman"/>
        </w:rPr>
        <w:tab/>
        <w:t>Email Address</w:t>
      </w:r>
      <w:r w:rsidRPr="008B1731">
        <w:rPr>
          <w:rFonts w:ascii="Times New Roman" w:eastAsia="Times New Roman" w:hAnsi="Times New Roman"/>
        </w:rPr>
        <w:tab/>
        <w:t xml:space="preserve"> _________________________</w:t>
      </w:r>
    </w:p>
    <w:p w14:paraId="19D1C91C" w14:textId="77777777" w:rsidR="004B7702" w:rsidRPr="008B1731" w:rsidRDefault="004B7702" w:rsidP="004B7702">
      <w:pPr>
        <w:spacing w:after="0" w:line="240" w:lineRule="auto"/>
        <w:rPr>
          <w:rFonts w:ascii="Times New Roman" w:eastAsia="Times New Roman" w:hAnsi="Times New Roman"/>
          <w:sz w:val="16"/>
          <w:szCs w:val="16"/>
        </w:rPr>
      </w:pPr>
    </w:p>
    <w:p w14:paraId="201CFB49" w14:textId="77777777" w:rsidR="004B7702" w:rsidRPr="008B1731" w:rsidRDefault="004B7702" w:rsidP="004B7702">
      <w:pPr>
        <w:spacing w:after="0" w:line="240" w:lineRule="auto"/>
        <w:rPr>
          <w:rFonts w:ascii="Times New Roman" w:eastAsia="Times New Roman" w:hAnsi="Times New Roman"/>
        </w:rPr>
      </w:pPr>
      <w:r w:rsidRPr="008B1731">
        <w:rPr>
          <w:rFonts w:ascii="Times New Roman" w:eastAsia="Times New Roman" w:hAnsi="Times New Roman"/>
        </w:rPr>
        <w:t>Name</w:t>
      </w:r>
      <w:r w:rsidRPr="008B1731">
        <w:rPr>
          <w:rFonts w:ascii="Times New Roman" w:eastAsia="Times New Roman" w:hAnsi="Times New Roman"/>
        </w:rPr>
        <w:tab/>
      </w:r>
      <w:r w:rsidRPr="008B1731">
        <w:rPr>
          <w:rFonts w:ascii="Times New Roman" w:eastAsia="Times New Roman" w:hAnsi="Times New Roman"/>
        </w:rPr>
        <w:tab/>
        <w:t xml:space="preserve"> _________________________</w:t>
      </w:r>
      <w:r w:rsidRPr="008B1731">
        <w:rPr>
          <w:rFonts w:ascii="Times New Roman" w:eastAsia="Times New Roman" w:hAnsi="Times New Roman"/>
        </w:rPr>
        <w:tab/>
      </w:r>
      <w:r w:rsidRPr="008B1731">
        <w:rPr>
          <w:rFonts w:ascii="Times New Roman" w:eastAsia="Times New Roman" w:hAnsi="Times New Roman"/>
        </w:rPr>
        <w:tab/>
        <w:t>Phone #</w:t>
      </w:r>
      <w:r w:rsidRPr="008B1731">
        <w:rPr>
          <w:rFonts w:ascii="Times New Roman" w:eastAsia="Times New Roman" w:hAnsi="Times New Roman"/>
        </w:rPr>
        <w:tab/>
        <w:t xml:space="preserve">  </w:t>
      </w:r>
      <w:r w:rsidRPr="008B1731">
        <w:rPr>
          <w:rFonts w:ascii="Times New Roman" w:eastAsia="Times New Roman" w:hAnsi="Times New Roman"/>
        </w:rPr>
        <w:tab/>
        <w:t>__________________________</w:t>
      </w:r>
    </w:p>
    <w:p w14:paraId="12E0D745" w14:textId="77777777" w:rsidR="005E573B" w:rsidRPr="008B1731" w:rsidRDefault="005E573B" w:rsidP="003D7C03">
      <w:pPr>
        <w:rPr>
          <w:rFonts w:ascii="Times New Roman" w:eastAsia="Times New Roman" w:hAnsi="Times New Roman"/>
        </w:rPr>
        <w:sectPr w:rsidR="005E573B" w:rsidRPr="008B1731" w:rsidSect="00BD2E87">
          <w:headerReference w:type="default" r:id="rId10"/>
          <w:pgSz w:w="12240" w:h="15840" w:code="1"/>
          <w:pgMar w:top="1152" w:right="1152" w:bottom="1152" w:left="1152" w:header="720" w:footer="432" w:gutter="0"/>
          <w:pgBorders w:offsetFrom="page">
            <w:top w:val="single" w:sz="4" w:space="24" w:color="C00000"/>
            <w:left w:val="single" w:sz="4" w:space="24" w:color="C00000"/>
            <w:bottom w:val="single" w:sz="4" w:space="24" w:color="C00000"/>
            <w:right w:val="single" w:sz="4" w:space="24" w:color="C00000"/>
          </w:pgBorders>
          <w:cols w:space="720"/>
          <w:docGrid w:linePitch="360"/>
        </w:sectPr>
      </w:pPr>
    </w:p>
    <w:p w14:paraId="56AF2AF0" w14:textId="77777777" w:rsidR="00623376" w:rsidRPr="008B1731" w:rsidRDefault="00623376" w:rsidP="003D7C03">
      <w:pPr>
        <w:rPr>
          <w:rFonts w:ascii="Times New Roman" w:hAnsi="Times New Roman"/>
          <w:b/>
          <w:sz w:val="28"/>
          <w:szCs w:val="28"/>
        </w:rPr>
      </w:pPr>
    </w:p>
    <w:p w14:paraId="190F0DDC" w14:textId="77777777" w:rsidR="00D43275" w:rsidRDefault="00D43275" w:rsidP="00623376">
      <w:pPr>
        <w:pStyle w:val="NoSpacing"/>
        <w:rPr>
          <w:rFonts w:ascii="Times New Roman" w:hAnsi="Times New Roman"/>
          <w:b/>
          <w:sz w:val="28"/>
          <w:szCs w:val="28"/>
        </w:rPr>
      </w:pPr>
    </w:p>
    <w:p w14:paraId="71936E23" w14:textId="77777777" w:rsidR="00030EF2" w:rsidRDefault="00030EF2" w:rsidP="00623376">
      <w:pPr>
        <w:pStyle w:val="NoSpacing"/>
        <w:rPr>
          <w:rFonts w:ascii="Times New Roman" w:hAnsi="Times New Roman"/>
          <w:b/>
          <w:sz w:val="28"/>
          <w:szCs w:val="28"/>
        </w:rPr>
      </w:pPr>
    </w:p>
    <w:p w14:paraId="3FF51DEA" w14:textId="77777777" w:rsidR="00030EF2" w:rsidRDefault="00030EF2" w:rsidP="00623376">
      <w:pPr>
        <w:pStyle w:val="NoSpacing"/>
        <w:rPr>
          <w:rFonts w:ascii="Times New Roman" w:hAnsi="Times New Roman"/>
          <w:b/>
          <w:sz w:val="28"/>
          <w:szCs w:val="28"/>
        </w:rPr>
      </w:pPr>
    </w:p>
    <w:p w14:paraId="398974BF" w14:textId="77777777" w:rsidR="00030EF2" w:rsidRDefault="00030EF2" w:rsidP="00623376">
      <w:pPr>
        <w:pStyle w:val="NoSpacing"/>
        <w:rPr>
          <w:rFonts w:ascii="Times New Roman" w:hAnsi="Times New Roman"/>
          <w:b/>
          <w:sz w:val="28"/>
          <w:szCs w:val="28"/>
        </w:rPr>
      </w:pPr>
    </w:p>
    <w:p w14:paraId="69509BF3" w14:textId="77777777" w:rsidR="00030EF2" w:rsidRDefault="00030EF2" w:rsidP="00623376">
      <w:pPr>
        <w:pStyle w:val="NoSpacing"/>
        <w:rPr>
          <w:rFonts w:ascii="Times New Roman" w:hAnsi="Times New Roman"/>
          <w:b/>
          <w:sz w:val="28"/>
          <w:szCs w:val="28"/>
        </w:rPr>
      </w:pPr>
    </w:p>
    <w:p w14:paraId="547BADF1" w14:textId="77777777" w:rsidR="00030EF2" w:rsidRDefault="00030EF2" w:rsidP="00623376">
      <w:pPr>
        <w:pStyle w:val="NoSpacing"/>
        <w:rPr>
          <w:rFonts w:ascii="Times New Roman" w:hAnsi="Times New Roman"/>
          <w:b/>
          <w:sz w:val="28"/>
          <w:szCs w:val="28"/>
        </w:rPr>
      </w:pPr>
    </w:p>
    <w:p w14:paraId="27CCC946" w14:textId="77777777" w:rsidR="00030EF2" w:rsidRDefault="00030EF2" w:rsidP="00623376">
      <w:pPr>
        <w:pStyle w:val="NoSpacing"/>
        <w:rPr>
          <w:rFonts w:ascii="Times New Roman" w:hAnsi="Times New Roman"/>
          <w:b/>
          <w:sz w:val="28"/>
          <w:szCs w:val="28"/>
        </w:rPr>
      </w:pPr>
    </w:p>
    <w:p w14:paraId="76524A48" w14:textId="77777777" w:rsidR="00030EF2" w:rsidRDefault="00030EF2" w:rsidP="00623376">
      <w:pPr>
        <w:pStyle w:val="NoSpacing"/>
        <w:rPr>
          <w:rFonts w:ascii="Times New Roman" w:hAnsi="Times New Roman"/>
          <w:b/>
          <w:sz w:val="28"/>
          <w:szCs w:val="28"/>
        </w:rPr>
      </w:pPr>
    </w:p>
    <w:p w14:paraId="4DF8B3C7" w14:textId="77777777" w:rsidR="00030EF2" w:rsidRDefault="00030EF2" w:rsidP="00623376">
      <w:pPr>
        <w:pStyle w:val="NoSpacing"/>
        <w:rPr>
          <w:rFonts w:ascii="Times New Roman" w:hAnsi="Times New Roman"/>
          <w:b/>
          <w:sz w:val="28"/>
          <w:szCs w:val="28"/>
        </w:rPr>
      </w:pPr>
    </w:p>
    <w:p w14:paraId="5915AA70" w14:textId="77777777" w:rsidR="00030EF2" w:rsidRDefault="00030EF2" w:rsidP="00623376">
      <w:pPr>
        <w:pStyle w:val="NoSpacing"/>
        <w:rPr>
          <w:rFonts w:ascii="Times New Roman" w:hAnsi="Times New Roman"/>
          <w:b/>
          <w:sz w:val="28"/>
          <w:szCs w:val="28"/>
        </w:rPr>
      </w:pPr>
    </w:p>
    <w:p w14:paraId="2F388007" w14:textId="77777777" w:rsidR="00030EF2" w:rsidRDefault="00030EF2" w:rsidP="00623376">
      <w:pPr>
        <w:pStyle w:val="NoSpacing"/>
        <w:rPr>
          <w:rFonts w:ascii="Times New Roman" w:hAnsi="Times New Roman"/>
          <w:b/>
          <w:sz w:val="28"/>
          <w:szCs w:val="28"/>
        </w:rPr>
      </w:pPr>
    </w:p>
    <w:p w14:paraId="25945141" w14:textId="77777777" w:rsidR="00030EF2" w:rsidRDefault="00030EF2" w:rsidP="00623376">
      <w:pPr>
        <w:pStyle w:val="NoSpacing"/>
        <w:rPr>
          <w:rFonts w:ascii="Times New Roman" w:hAnsi="Times New Roman"/>
          <w:b/>
          <w:sz w:val="28"/>
          <w:szCs w:val="28"/>
        </w:rPr>
      </w:pPr>
    </w:p>
    <w:p w14:paraId="45FDF3BE" w14:textId="77777777" w:rsidR="00030EF2" w:rsidRDefault="00030EF2" w:rsidP="00623376">
      <w:pPr>
        <w:pStyle w:val="NoSpacing"/>
        <w:rPr>
          <w:rFonts w:ascii="Times New Roman" w:hAnsi="Times New Roman"/>
          <w:b/>
          <w:sz w:val="28"/>
          <w:szCs w:val="28"/>
        </w:rPr>
      </w:pPr>
    </w:p>
    <w:p w14:paraId="3A7CA4A7" w14:textId="77777777" w:rsidR="005A0D3A" w:rsidRDefault="005A0D3A" w:rsidP="00623376">
      <w:pPr>
        <w:pStyle w:val="NoSpacing"/>
        <w:rPr>
          <w:rFonts w:ascii="Times New Roman" w:hAnsi="Times New Roman"/>
          <w:b/>
          <w:sz w:val="28"/>
          <w:szCs w:val="28"/>
        </w:rPr>
      </w:pPr>
    </w:p>
    <w:p w14:paraId="63C014A6" w14:textId="77777777" w:rsidR="00154C0F" w:rsidRDefault="00154C0F" w:rsidP="00623376">
      <w:pPr>
        <w:pStyle w:val="NoSpacing"/>
        <w:rPr>
          <w:rFonts w:ascii="Times New Roman" w:hAnsi="Times New Roman"/>
          <w:b/>
          <w:sz w:val="28"/>
          <w:szCs w:val="28"/>
        </w:rPr>
      </w:pPr>
    </w:p>
    <w:p w14:paraId="5AE5021D" w14:textId="77777777" w:rsidR="00D312ED" w:rsidRPr="008B1731" w:rsidRDefault="00D312ED" w:rsidP="00623376">
      <w:pPr>
        <w:pStyle w:val="NoSpacing"/>
        <w:rPr>
          <w:rFonts w:ascii="Times New Roman" w:hAnsi="Times New Roman"/>
          <w:b/>
          <w:sz w:val="28"/>
          <w:szCs w:val="28"/>
        </w:rPr>
      </w:pPr>
      <w:r w:rsidRPr="008B1731">
        <w:rPr>
          <w:rFonts w:ascii="Times New Roman" w:hAnsi="Times New Roman"/>
          <w:b/>
          <w:sz w:val="28"/>
          <w:szCs w:val="28"/>
        </w:rPr>
        <w:t>Georgia State Accounting Office</w:t>
      </w:r>
    </w:p>
    <w:p w14:paraId="1E8EFC43" w14:textId="77777777" w:rsidR="00D312ED" w:rsidRPr="008B1731" w:rsidRDefault="00D312ED" w:rsidP="00623376">
      <w:pPr>
        <w:pStyle w:val="NoSpacing"/>
        <w:rPr>
          <w:rFonts w:ascii="Times New Roman" w:hAnsi="Times New Roman"/>
          <w:b/>
          <w:sz w:val="28"/>
          <w:szCs w:val="28"/>
        </w:rPr>
      </w:pPr>
      <w:r w:rsidRPr="008B1731">
        <w:rPr>
          <w:rFonts w:ascii="Times New Roman" w:hAnsi="Times New Roman"/>
          <w:b/>
          <w:sz w:val="28"/>
          <w:szCs w:val="28"/>
        </w:rPr>
        <w:t>Statewide Annual Financial Reporting</w:t>
      </w:r>
    </w:p>
    <w:p w14:paraId="6E705521" w14:textId="77777777" w:rsidR="00D312ED" w:rsidRPr="008B1731" w:rsidRDefault="00D312ED" w:rsidP="00623376">
      <w:pPr>
        <w:pStyle w:val="NoSpacing"/>
        <w:rPr>
          <w:rFonts w:ascii="Times New Roman" w:hAnsi="Times New Roman"/>
          <w:b/>
          <w:sz w:val="28"/>
          <w:szCs w:val="28"/>
        </w:rPr>
      </w:pPr>
      <w:r w:rsidRPr="008B1731">
        <w:rPr>
          <w:rFonts w:ascii="Times New Roman" w:hAnsi="Times New Roman"/>
          <w:b/>
          <w:sz w:val="28"/>
          <w:szCs w:val="28"/>
        </w:rPr>
        <w:t>Introductory Comments</w:t>
      </w:r>
    </w:p>
    <w:p w14:paraId="667EB511" w14:textId="77777777" w:rsidR="00D312ED" w:rsidRPr="008B1731" w:rsidRDefault="00D312ED" w:rsidP="00623376">
      <w:pPr>
        <w:pStyle w:val="NoSpacing"/>
        <w:rPr>
          <w:rFonts w:ascii="Times New Roman" w:hAnsi="Times New Roman"/>
          <w:b/>
          <w:sz w:val="28"/>
          <w:szCs w:val="28"/>
        </w:rPr>
      </w:pPr>
    </w:p>
    <w:p w14:paraId="25F5448A" w14:textId="77777777" w:rsidR="00D312ED" w:rsidRPr="008B1731" w:rsidRDefault="00D312ED" w:rsidP="002A0047">
      <w:pPr>
        <w:jc w:val="both"/>
        <w:rPr>
          <w:rFonts w:ascii="Times New Roman" w:hAnsi="Times New Roman"/>
        </w:rPr>
      </w:pPr>
      <w:r w:rsidRPr="008B1731">
        <w:rPr>
          <w:rFonts w:ascii="Times New Roman" w:hAnsi="Times New Roman"/>
        </w:rPr>
        <w:t xml:space="preserve">One of the most critical functions of the State Accounting Office </w:t>
      </w:r>
      <w:r w:rsidR="00CF0FB1" w:rsidRPr="008B1731">
        <w:rPr>
          <w:rFonts w:ascii="Times New Roman" w:hAnsi="Times New Roman"/>
        </w:rPr>
        <w:t xml:space="preserve">(SAO) </w:t>
      </w:r>
      <w:r w:rsidRPr="008B1731">
        <w:rPr>
          <w:rFonts w:ascii="Times New Roman" w:hAnsi="Times New Roman"/>
        </w:rPr>
        <w:t xml:space="preserve">is the preparation and dissemination of the </w:t>
      </w:r>
      <w:r w:rsidR="0093225E" w:rsidRPr="008B1731">
        <w:rPr>
          <w:rFonts w:ascii="Times New Roman" w:hAnsi="Times New Roman"/>
        </w:rPr>
        <w:t xml:space="preserve">State of </w:t>
      </w:r>
      <w:r w:rsidRPr="008B1731">
        <w:rPr>
          <w:rFonts w:ascii="Times New Roman" w:hAnsi="Times New Roman"/>
        </w:rPr>
        <w:t xml:space="preserve">Georgia </w:t>
      </w:r>
      <w:r w:rsidRPr="008B1731">
        <w:rPr>
          <w:rFonts w:ascii="Times New Roman" w:hAnsi="Times New Roman"/>
          <w:i/>
        </w:rPr>
        <w:t>Comprehensive Annual Financial Report (CAFR</w:t>
      </w:r>
      <w:r w:rsidRPr="008B1731">
        <w:rPr>
          <w:rFonts w:ascii="Times New Roman" w:hAnsi="Times New Roman"/>
        </w:rPr>
        <w:t>).  Federal grantor agencies, banks, bond rating agencies, insurance companies, governing boards, and taxpayer groups all rely on the information in</w:t>
      </w:r>
      <w:r w:rsidR="00BB6223">
        <w:rPr>
          <w:rFonts w:ascii="Times New Roman" w:hAnsi="Times New Roman"/>
        </w:rPr>
        <w:t xml:space="preserve"> the</w:t>
      </w:r>
      <w:r w:rsidRPr="008B1731">
        <w:rPr>
          <w:rFonts w:ascii="Times New Roman" w:hAnsi="Times New Roman"/>
        </w:rPr>
        <w:t xml:space="preserve"> </w:t>
      </w:r>
      <w:r w:rsidRPr="008B1731">
        <w:rPr>
          <w:rFonts w:ascii="Times New Roman" w:hAnsi="Times New Roman"/>
          <w:i/>
        </w:rPr>
        <w:t>CAFR</w:t>
      </w:r>
      <w:r w:rsidRPr="008B1731">
        <w:rPr>
          <w:rFonts w:ascii="Times New Roman" w:hAnsi="Times New Roman"/>
        </w:rPr>
        <w:t xml:space="preserve"> to assess the financial strength of the State.</w:t>
      </w:r>
      <w:r w:rsidR="002C357B">
        <w:rPr>
          <w:rFonts w:ascii="Times New Roman" w:hAnsi="Times New Roman"/>
        </w:rPr>
        <w:t xml:space="preserve">  Producing the CAFR on time with a clean opinion plays a crucial role in the State maintaining its AAA bond rating.</w:t>
      </w:r>
      <w:r w:rsidRPr="008B1731">
        <w:rPr>
          <w:rFonts w:ascii="Times New Roman" w:hAnsi="Times New Roman"/>
        </w:rPr>
        <w:t xml:space="preserve">  </w:t>
      </w:r>
    </w:p>
    <w:p w14:paraId="4D53232C" w14:textId="77777777" w:rsidR="00D312ED" w:rsidRPr="008B1731" w:rsidRDefault="00D312ED" w:rsidP="002A0047">
      <w:pPr>
        <w:jc w:val="both"/>
        <w:rPr>
          <w:rFonts w:ascii="Times New Roman" w:hAnsi="Times New Roman"/>
        </w:rPr>
      </w:pPr>
      <w:r w:rsidRPr="008B1731">
        <w:rPr>
          <w:rFonts w:ascii="Times New Roman" w:hAnsi="Times New Roman"/>
        </w:rPr>
        <w:t xml:space="preserve">These </w:t>
      </w:r>
      <w:r w:rsidRPr="008B1731">
        <w:rPr>
          <w:rFonts w:ascii="Times New Roman" w:hAnsi="Times New Roman"/>
          <w:i/>
        </w:rPr>
        <w:t>Introductory Comments</w:t>
      </w:r>
      <w:r w:rsidRPr="008B1731">
        <w:rPr>
          <w:rFonts w:ascii="Times New Roman" w:hAnsi="Times New Roman"/>
        </w:rPr>
        <w:t xml:space="preserve"> have been prepared to explain the importance of statewide financial reporting, how </w:t>
      </w:r>
      <w:r w:rsidR="004C4186" w:rsidRPr="008B1731">
        <w:rPr>
          <w:rFonts w:ascii="Times New Roman" w:hAnsi="Times New Roman"/>
        </w:rPr>
        <w:t xml:space="preserve">the </w:t>
      </w:r>
      <w:r w:rsidRPr="008B1731">
        <w:rPr>
          <w:rFonts w:ascii="Times New Roman" w:hAnsi="Times New Roman"/>
          <w:i/>
        </w:rPr>
        <w:t>CAFR</w:t>
      </w:r>
      <w:r w:rsidRPr="008B1731">
        <w:rPr>
          <w:rFonts w:ascii="Times New Roman" w:hAnsi="Times New Roman"/>
        </w:rPr>
        <w:t xml:space="preserve"> benefits the State of Georgia, and the role of every State </w:t>
      </w:r>
      <w:r w:rsidR="0062432F" w:rsidRPr="008B1731">
        <w:rPr>
          <w:rFonts w:ascii="Times New Roman" w:hAnsi="Times New Roman"/>
        </w:rPr>
        <w:t>organization</w:t>
      </w:r>
      <w:r w:rsidRPr="008B1731">
        <w:rPr>
          <w:rFonts w:ascii="Times New Roman" w:hAnsi="Times New Roman"/>
        </w:rPr>
        <w:t xml:space="preserve"> in developing an accurate and timely </w:t>
      </w:r>
      <w:r w:rsidRPr="008B1731">
        <w:rPr>
          <w:rFonts w:ascii="Times New Roman" w:hAnsi="Times New Roman"/>
          <w:i/>
        </w:rPr>
        <w:t>CAFR</w:t>
      </w:r>
      <w:r w:rsidRPr="008B1731">
        <w:rPr>
          <w:rFonts w:ascii="Times New Roman" w:hAnsi="Times New Roman"/>
        </w:rPr>
        <w:t xml:space="preserve">. </w:t>
      </w:r>
    </w:p>
    <w:p w14:paraId="09791BF0" w14:textId="77777777" w:rsidR="00D312ED" w:rsidRPr="008B1731" w:rsidRDefault="00D312ED" w:rsidP="002A0047">
      <w:pPr>
        <w:jc w:val="both"/>
        <w:rPr>
          <w:rFonts w:ascii="Times New Roman" w:hAnsi="Times New Roman"/>
        </w:rPr>
      </w:pPr>
      <w:r w:rsidRPr="008B1731">
        <w:rPr>
          <w:rFonts w:ascii="Times New Roman" w:hAnsi="Times New Roman"/>
        </w:rPr>
        <w:t>Throughout the year, the State of Georgia accounts for its financial operations on the statutory basis of accounting, often referred to as the “budgetary basis</w:t>
      </w:r>
      <w:r w:rsidR="00101FAE" w:rsidRPr="008B1731">
        <w:rPr>
          <w:rFonts w:ascii="Times New Roman" w:hAnsi="Times New Roman"/>
        </w:rPr>
        <w:t>.</w:t>
      </w:r>
      <w:r w:rsidRPr="008B1731">
        <w:rPr>
          <w:rFonts w:ascii="Times New Roman" w:hAnsi="Times New Roman"/>
        </w:rPr>
        <w:t xml:space="preserve">”  This methodology provides for the recording, tracking, and reporting of government activities based on annual appropriations and budgets.  The </w:t>
      </w:r>
      <w:r w:rsidR="00CF0FB1" w:rsidRPr="008B1731">
        <w:rPr>
          <w:rFonts w:ascii="Times New Roman" w:hAnsi="Times New Roman"/>
        </w:rPr>
        <w:t>SAO</w:t>
      </w:r>
      <w:r w:rsidRPr="008B1731">
        <w:rPr>
          <w:rFonts w:ascii="Times New Roman" w:hAnsi="Times New Roman"/>
        </w:rPr>
        <w:t xml:space="preserve"> produces the </w:t>
      </w:r>
      <w:r w:rsidRPr="008B1731">
        <w:rPr>
          <w:rFonts w:ascii="Times New Roman" w:hAnsi="Times New Roman"/>
          <w:i/>
        </w:rPr>
        <w:t>Budgetary Compliance Report</w:t>
      </w:r>
      <w:r w:rsidRPr="008B1731">
        <w:rPr>
          <w:rFonts w:ascii="Times New Roman" w:hAnsi="Times New Roman"/>
        </w:rPr>
        <w:t xml:space="preserve"> each year summarizing the activities of appropriated agencies with comparisons to budgeted revenues and </w:t>
      </w:r>
      <w:r w:rsidR="00CF0FB1" w:rsidRPr="008B1731">
        <w:rPr>
          <w:rFonts w:ascii="Times New Roman" w:hAnsi="Times New Roman"/>
        </w:rPr>
        <w:t>expenditures</w:t>
      </w:r>
      <w:r w:rsidRPr="008B1731">
        <w:rPr>
          <w:rFonts w:ascii="Times New Roman" w:hAnsi="Times New Roman"/>
        </w:rPr>
        <w:t xml:space="preserve">.  However, the </w:t>
      </w:r>
      <w:r w:rsidRPr="008B1731">
        <w:rPr>
          <w:rFonts w:ascii="Times New Roman" w:hAnsi="Times New Roman"/>
          <w:i/>
        </w:rPr>
        <w:t>Budgetary Compliance Report</w:t>
      </w:r>
      <w:r w:rsidRPr="008B1731">
        <w:rPr>
          <w:rFonts w:ascii="Times New Roman" w:hAnsi="Times New Roman"/>
        </w:rPr>
        <w:t xml:space="preserve"> does not include all of the assets and liabilities of the State, and therefore, does not meet the reporting requirements incorporated </w:t>
      </w:r>
      <w:r w:rsidR="0093225E" w:rsidRPr="008B1731">
        <w:rPr>
          <w:rFonts w:ascii="Times New Roman" w:hAnsi="Times New Roman"/>
        </w:rPr>
        <w:t>by</w:t>
      </w:r>
      <w:r w:rsidRPr="008B1731">
        <w:rPr>
          <w:rFonts w:ascii="Times New Roman" w:hAnsi="Times New Roman"/>
        </w:rPr>
        <w:t xml:space="preserve"> generally accepted accounting principles (GAAP). </w:t>
      </w:r>
    </w:p>
    <w:p w14:paraId="06318E92" w14:textId="77777777" w:rsidR="00D312ED" w:rsidRPr="008B1731" w:rsidRDefault="00D312ED" w:rsidP="002A0047">
      <w:pPr>
        <w:jc w:val="both"/>
        <w:rPr>
          <w:rFonts w:ascii="Times New Roman" w:hAnsi="Times New Roman"/>
        </w:rPr>
      </w:pPr>
      <w:r w:rsidRPr="008B1731">
        <w:rPr>
          <w:rFonts w:ascii="Times New Roman" w:hAnsi="Times New Roman"/>
        </w:rPr>
        <w:t xml:space="preserve">Just as publicly held corporations issue annual reports containing audited financial statements, governments issue audited financial statements in the form of an annual </w:t>
      </w:r>
      <w:r w:rsidRPr="008B1731">
        <w:rPr>
          <w:rFonts w:ascii="Times New Roman" w:hAnsi="Times New Roman"/>
          <w:i/>
        </w:rPr>
        <w:t>CAFR</w:t>
      </w:r>
      <w:r w:rsidRPr="008B1731">
        <w:rPr>
          <w:rFonts w:ascii="Times New Roman" w:hAnsi="Times New Roman"/>
        </w:rPr>
        <w:t xml:space="preserve">.  </w:t>
      </w:r>
      <w:r w:rsidR="004C4186" w:rsidRPr="008B1731">
        <w:rPr>
          <w:rFonts w:ascii="Times New Roman" w:hAnsi="Times New Roman"/>
        </w:rPr>
        <w:t xml:space="preserve">The </w:t>
      </w:r>
      <w:r w:rsidRPr="008B1731">
        <w:rPr>
          <w:rFonts w:ascii="Times New Roman" w:hAnsi="Times New Roman"/>
          <w:i/>
        </w:rPr>
        <w:t>CAFR</w:t>
      </w:r>
      <w:r w:rsidRPr="008B1731">
        <w:rPr>
          <w:rFonts w:ascii="Times New Roman" w:hAnsi="Times New Roman"/>
        </w:rPr>
        <w:t xml:space="preserve"> is the only statewide financial report issued by the State of Georgia </w:t>
      </w:r>
      <w:r w:rsidR="0093225E" w:rsidRPr="008B1731">
        <w:rPr>
          <w:rFonts w:ascii="Times New Roman" w:hAnsi="Times New Roman"/>
        </w:rPr>
        <w:t xml:space="preserve">prepared </w:t>
      </w:r>
      <w:r w:rsidRPr="008B1731">
        <w:rPr>
          <w:rFonts w:ascii="Times New Roman" w:hAnsi="Times New Roman"/>
        </w:rPr>
        <w:t xml:space="preserve">in accordance with GAAP.  It incorporates the activities and accounts of every </w:t>
      </w:r>
      <w:r w:rsidR="00CF0FB1" w:rsidRPr="008B1731">
        <w:rPr>
          <w:rFonts w:ascii="Times New Roman" w:hAnsi="Times New Roman"/>
        </w:rPr>
        <w:t xml:space="preserve">organization </w:t>
      </w:r>
      <w:r w:rsidRPr="008B1731">
        <w:rPr>
          <w:rFonts w:ascii="Times New Roman" w:hAnsi="Times New Roman"/>
        </w:rPr>
        <w:t>comprising the State of Georgia</w:t>
      </w:r>
      <w:r w:rsidR="0093225E" w:rsidRPr="008B1731">
        <w:rPr>
          <w:rFonts w:ascii="Times New Roman" w:hAnsi="Times New Roman"/>
        </w:rPr>
        <w:t xml:space="preserve"> reporting entity</w:t>
      </w:r>
      <w:r w:rsidRPr="008B1731">
        <w:rPr>
          <w:rFonts w:ascii="Times New Roman" w:hAnsi="Times New Roman"/>
        </w:rPr>
        <w:t xml:space="preserve">, including its elected officials, government agencies, State courts, colleges, universities, and </w:t>
      </w:r>
      <w:r w:rsidR="00CF0FB1" w:rsidRPr="008B1731">
        <w:rPr>
          <w:rFonts w:ascii="Times New Roman" w:hAnsi="Times New Roman"/>
        </w:rPr>
        <w:t>component units.</w:t>
      </w:r>
      <w:r w:rsidRPr="008B1731">
        <w:rPr>
          <w:rFonts w:ascii="Times New Roman" w:hAnsi="Times New Roman"/>
        </w:rPr>
        <w:t xml:space="preserve">  </w:t>
      </w:r>
    </w:p>
    <w:p w14:paraId="36373C59" w14:textId="77777777" w:rsidR="00D312ED" w:rsidRPr="008B1731" w:rsidRDefault="00D312ED" w:rsidP="002A0047">
      <w:pPr>
        <w:jc w:val="both"/>
        <w:rPr>
          <w:rFonts w:ascii="Times New Roman" w:hAnsi="Times New Roman"/>
        </w:rPr>
      </w:pPr>
      <w:r w:rsidRPr="008B1731">
        <w:rPr>
          <w:rFonts w:ascii="Times New Roman" w:hAnsi="Times New Roman"/>
        </w:rPr>
        <w:t>Reporting in accordance with GAAP ensures a consistent approach and allows for the comparison of Georgia’s statewide financial information against the data reported by other governments.  GAAP</w:t>
      </w:r>
      <w:r w:rsidR="004C4186" w:rsidRPr="008B1731">
        <w:rPr>
          <w:rFonts w:ascii="Times New Roman" w:hAnsi="Times New Roman"/>
        </w:rPr>
        <w:t>-</w:t>
      </w:r>
      <w:r w:rsidRPr="008B1731">
        <w:rPr>
          <w:rFonts w:ascii="Times New Roman" w:hAnsi="Times New Roman"/>
        </w:rPr>
        <w:t xml:space="preserve">based reporting requires full disclosure of the matters that impact a government’s financial </w:t>
      </w:r>
      <w:r w:rsidR="00101FAE" w:rsidRPr="008B1731">
        <w:rPr>
          <w:rFonts w:ascii="Times New Roman" w:hAnsi="Times New Roman"/>
        </w:rPr>
        <w:t xml:space="preserve">position and economic </w:t>
      </w:r>
      <w:r w:rsidRPr="008B1731">
        <w:rPr>
          <w:rFonts w:ascii="Times New Roman" w:hAnsi="Times New Roman"/>
        </w:rPr>
        <w:t xml:space="preserve">condition, including its resources, commitments and contingencies. GAAP reporting requirements define the reporting entity and set the parameters for determining which </w:t>
      </w:r>
      <w:r w:rsidR="00CF0FB1" w:rsidRPr="008B1731">
        <w:rPr>
          <w:rFonts w:ascii="Times New Roman" w:hAnsi="Times New Roman"/>
        </w:rPr>
        <w:t xml:space="preserve">organizations </w:t>
      </w:r>
      <w:r w:rsidRPr="008B1731">
        <w:rPr>
          <w:rFonts w:ascii="Times New Roman" w:hAnsi="Times New Roman"/>
        </w:rPr>
        <w:t xml:space="preserve">comprise the State of Georgia </w:t>
      </w:r>
      <w:r w:rsidR="0093225E" w:rsidRPr="008B1731">
        <w:rPr>
          <w:rFonts w:ascii="Times New Roman" w:hAnsi="Times New Roman"/>
        </w:rPr>
        <w:t xml:space="preserve">reporting </w:t>
      </w:r>
      <w:r w:rsidR="00CF0FB1" w:rsidRPr="008B1731">
        <w:rPr>
          <w:rFonts w:ascii="Times New Roman" w:hAnsi="Times New Roman"/>
        </w:rPr>
        <w:t xml:space="preserve">entity </w:t>
      </w:r>
      <w:r w:rsidRPr="008B1731">
        <w:rPr>
          <w:rFonts w:ascii="Times New Roman" w:hAnsi="Times New Roman"/>
        </w:rPr>
        <w:t>for financial reporting purposes.</w:t>
      </w:r>
    </w:p>
    <w:p w14:paraId="0012FCDA" w14:textId="4AD1671E" w:rsidR="00D312ED" w:rsidRPr="008B1731" w:rsidRDefault="00D312ED" w:rsidP="002A0047">
      <w:pPr>
        <w:jc w:val="both"/>
        <w:rPr>
          <w:rFonts w:ascii="Times New Roman" w:hAnsi="Times New Roman"/>
        </w:rPr>
      </w:pPr>
      <w:r w:rsidRPr="008B1731">
        <w:rPr>
          <w:rFonts w:ascii="Times New Roman" w:hAnsi="Times New Roman"/>
        </w:rPr>
        <w:t xml:space="preserve">To get a better understanding of the Georgia </w:t>
      </w:r>
      <w:r w:rsidRPr="008B1731">
        <w:rPr>
          <w:rFonts w:ascii="Times New Roman" w:hAnsi="Times New Roman"/>
          <w:i/>
        </w:rPr>
        <w:t>CAFR</w:t>
      </w:r>
      <w:r w:rsidRPr="008B1731">
        <w:rPr>
          <w:rFonts w:ascii="Times New Roman" w:hAnsi="Times New Roman"/>
        </w:rPr>
        <w:t xml:space="preserve">, readers are encouraged to review the </w:t>
      </w:r>
      <w:r w:rsidR="00BF7012" w:rsidRPr="008B1731">
        <w:rPr>
          <w:rFonts w:ascii="Times New Roman" w:hAnsi="Times New Roman"/>
        </w:rPr>
        <w:t>201</w:t>
      </w:r>
      <w:r w:rsidR="00D230F2">
        <w:rPr>
          <w:rFonts w:ascii="Times New Roman" w:hAnsi="Times New Roman"/>
        </w:rPr>
        <w:t>8</w:t>
      </w:r>
      <w:r w:rsidR="00BF7012" w:rsidRPr="008B1731">
        <w:rPr>
          <w:rFonts w:ascii="Times New Roman" w:hAnsi="Times New Roman"/>
        </w:rPr>
        <w:t xml:space="preserve"> </w:t>
      </w:r>
      <w:r w:rsidRPr="008B1731">
        <w:rPr>
          <w:rFonts w:ascii="Times New Roman" w:hAnsi="Times New Roman"/>
        </w:rPr>
        <w:t xml:space="preserve">report, which is available to the public at no cost. Georgia’s </w:t>
      </w:r>
      <w:r w:rsidR="00BF7012" w:rsidRPr="008B1731">
        <w:rPr>
          <w:rFonts w:ascii="Times New Roman" w:hAnsi="Times New Roman"/>
        </w:rPr>
        <w:t>201</w:t>
      </w:r>
      <w:r w:rsidR="00D230F2">
        <w:rPr>
          <w:rFonts w:ascii="Times New Roman" w:hAnsi="Times New Roman"/>
        </w:rPr>
        <w:t>8</w:t>
      </w:r>
      <w:r w:rsidR="00BF7012" w:rsidRPr="008B1731">
        <w:rPr>
          <w:rFonts w:ascii="Times New Roman" w:hAnsi="Times New Roman"/>
        </w:rPr>
        <w:t xml:space="preserve"> </w:t>
      </w:r>
      <w:r w:rsidRPr="008B1731">
        <w:rPr>
          <w:rFonts w:ascii="Times New Roman" w:hAnsi="Times New Roman"/>
          <w:i/>
        </w:rPr>
        <w:t>CAFR</w:t>
      </w:r>
      <w:r w:rsidRPr="008B1731">
        <w:rPr>
          <w:rFonts w:ascii="Times New Roman" w:hAnsi="Times New Roman"/>
        </w:rPr>
        <w:t xml:space="preserve"> is over </w:t>
      </w:r>
      <w:r w:rsidR="00F3643A">
        <w:rPr>
          <w:rFonts w:ascii="Times New Roman" w:hAnsi="Times New Roman"/>
        </w:rPr>
        <w:t>3</w:t>
      </w:r>
      <w:r w:rsidRPr="008B1731">
        <w:rPr>
          <w:rFonts w:ascii="Times New Roman" w:hAnsi="Times New Roman"/>
        </w:rPr>
        <w:t>00 pages in length and can be viewed or downloaded by clicking on the following link</w:t>
      </w:r>
      <w:r w:rsidR="00DD4C2A" w:rsidRPr="008B1731">
        <w:rPr>
          <w:rFonts w:ascii="Times New Roman" w:hAnsi="Times New Roman"/>
        </w:rPr>
        <w:t>:</w:t>
      </w:r>
    </w:p>
    <w:p w14:paraId="74C9AA1F" w14:textId="1BA9255C" w:rsidR="00D230F2" w:rsidRDefault="00D230F2" w:rsidP="002A0047">
      <w:pPr>
        <w:jc w:val="both"/>
      </w:pPr>
      <w:hyperlink r:id="rId11" w:history="1">
        <w:r w:rsidRPr="00D230F2">
          <w:rPr>
            <w:color w:val="0000FF"/>
            <w:u w:val="single"/>
          </w:rPr>
          <w:t>https://sao.georgia.gov/sites/sao.georgia.gov/files/related_files/site_page/2018-CAFR.PDF</w:t>
        </w:r>
      </w:hyperlink>
    </w:p>
    <w:p w14:paraId="430AE9DA" w14:textId="77777777" w:rsidR="00D230F2" w:rsidRDefault="00D230F2" w:rsidP="002A0047">
      <w:pPr>
        <w:jc w:val="both"/>
        <w:rPr>
          <w:rStyle w:val="Hyperlink"/>
        </w:rPr>
      </w:pPr>
    </w:p>
    <w:p w14:paraId="7A1D4F21" w14:textId="77777777" w:rsidR="00D230F2" w:rsidRDefault="00D230F2" w:rsidP="002A0047">
      <w:pPr>
        <w:jc w:val="both"/>
      </w:pPr>
    </w:p>
    <w:p w14:paraId="4A36C070" w14:textId="44CBCE5D" w:rsidR="00D312ED" w:rsidRPr="008B1731" w:rsidRDefault="00D312ED" w:rsidP="002A0047">
      <w:pPr>
        <w:jc w:val="both"/>
        <w:rPr>
          <w:rFonts w:ascii="Times New Roman" w:hAnsi="Times New Roman"/>
        </w:rPr>
      </w:pPr>
      <w:r w:rsidRPr="008B1731">
        <w:rPr>
          <w:rFonts w:ascii="Times New Roman" w:hAnsi="Times New Roman"/>
        </w:rPr>
        <w:t xml:space="preserve">Preparation of the </w:t>
      </w:r>
      <w:r w:rsidR="003E6F1A" w:rsidRPr="008B1731">
        <w:rPr>
          <w:rFonts w:ascii="Times New Roman" w:hAnsi="Times New Roman"/>
        </w:rPr>
        <w:t>201</w:t>
      </w:r>
      <w:r w:rsidR="00D230F2">
        <w:rPr>
          <w:rFonts w:ascii="Times New Roman" w:hAnsi="Times New Roman"/>
        </w:rPr>
        <w:t>8</w:t>
      </w:r>
      <w:r w:rsidR="003E6F1A" w:rsidRPr="008B1731">
        <w:rPr>
          <w:rFonts w:ascii="Times New Roman" w:hAnsi="Times New Roman"/>
        </w:rPr>
        <w:t xml:space="preserve"> </w:t>
      </w:r>
      <w:r w:rsidRPr="008B1731">
        <w:rPr>
          <w:rFonts w:ascii="Times New Roman" w:hAnsi="Times New Roman"/>
        </w:rPr>
        <w:t xml:space="preserve">Georgia </w:t>
      </w:r>
      <w:r w:rsidRPr="008B1731">
        <w:rPr>
          <w:rFonts w:ascii="Times New Roman" w:hAnsi="Times New Roman"/>
          <w:i/>
        </w:rPr>
        <w:t>CAFR</w:t>
      </w:r>
      <w:r w:rsidRPr="008B1731">
        <w:rPr>
          <w:rFonts w:ascii="Times New Roman" w:hAnsi="Times New Roman"/>
        </w:rPr>
        <w:t xml:space="preserve"> involved a consolidation of</w:t>
      </w:r>
      <w:r w:rsidR="00546D00" w:rsidRPr="008B1731">
        <w:rPr>
          <w:rFonts w:ascii="Times New Roman" w:hAnsi="Times New Roman"/>
        </w:rPr>
        <w:t xml:space="preserve"> over a hundred organizations</w:t>
      </w:r>
      <w:r w:rsidRPr="008B1731">
        <w:rPr>
          <w:rFonts w:ascii="Times New Roman" w:hAnsi="Times New Roman"/>
        </w:rPr>
        <w:t xml:space="preserve"> and funds to present a single unified set of statewide financial statements.  Compiling this information is a massive undertaking requiring the involvement of financial managers in every </w:t>
      </w:r>
      <w:r w:rsidR="00CF0FB1" w:rsidRPr="008B1731">
        <w:rPr>
          <w:rFonts w:ascii="Times New Roman" w:hAnsi="Times New Roman"/>
        </w:rPr>
        <w:t xml:space="preserve">organization </w:t>
      </w:r>
      <w:r w:rsidRPr="008B1731">
        <w:rPr>
          <w:rFonts w:ascii="Times New Roman" w:hAnsi="Times New Roman"/>
        </w:rPr>
        <w:t xml:space="preserve">of Georgia State government.  Some of these </w:t>
      </w:r>
      <w:r w:rsidR="00CF0FB1" w:rsidRPr="008B1731">
        <w:rPr>
          <w:rFonts w:ascii="Times New Roman" w:hAnsi="Times New Roman"/>
        </w:rPr>
        <w:t xml:space="preserve">organizations </w:t>
      </w:r>
      <w:r w:rsidRPr="008B1731">
        <w:rPr>
          <w:rFonts w:ascii="Times New Roman" w:hAnsi="Times New Roman"/>
        </w:rPr>
        <w:t xml:space="preserve">may issue </w:t>
      </w:r>
      <w:r w:rsidR="0062432F" w:rsidRPr="008B1731">
        <w:rPr>
          <w:rFonts w:ascii="Times New Roman" w:hAnsi="Times New Roman"/>
        </w:rPr>
        <w:t>organization</w:t>
      </w:r>
      <w:r w:rsidRPr="008B1731">
        <w:rPr>
          <w:rFonts w:ascii="Times New Roman" w:hAnsi="Times New Roman"/>
        </w:rPr>
        <w:t xml:space="preserve"> financial statements</w:t>
      </w:r>
      <w:r w:rsidR="00093150" w:rsidRPr="008B1731">
        <w:rPr>
          <w:rFonts w:ascii="Times New Roman" w:hAnsi="Times New Roman"/>
        </w:rPr>
        <w:t xml:space="preserve"> prepared</w:t>
      </w:r>
      <w:r w:rsidRPr="008B1731">
        <w:rPr>
          <w:rFonts w:ascii="Times New Roman" w:hAnsi="Times New Roman"/>
        </w:rPr>
        <w:t xml:space="preserve"> in accordance with GAAP, but many do not.  </w:t>
      </w:r>
    </w:p>
    <w:p w14:paraId="31816813" w14:textId="1BCAA38C" w:rsidR="00D312ED" w:rsidRPr="008B1731" w:rsidRDefault="00E6086C" w:rsidP="002A0047">
      <w:pPr>
        <w:jc w:val="both"/>
        <w:rPr>
          <w:rFonts w:ascii="Times New Roman" w:hAnsi="Times New Roman"/>
        </w:rPr>
      </w:pPr>
      <w:r>
        <w:rPr>
          <w:rFonts w:ascii="Times New Roman" w:hAnsi="Times New Roman"/>
        </w:rPr>
        <w:t>201</w:t>
      </w:r>
      <w:r w:rsidR="00D230F2">
        <w:rPr>
          <w:rFonts w:ascii="Times New Roman" w:hAnsi="Times New Roman"/>
        </w:rPr>
        <w:t>9</w:t>
      </w:r>
      <w:r w:rsidR="003E6F1A" w:rsidRPr="008B1731">
        <w:rPr>
          <w:rFonts w:ascii="Times New Roman" w:hAnsi="Times New Roman"/>
        </w:rPr>
        <w:t xml:space="preserve"> </w:t>
      </w:r>
      <w:r w:rsidR="003D578A" w:rsidRPr="008B1731">
        <w:rPr>
          <w:rFonts w:ascii="Times New Roman" w:hAnsi="Times New Roman"/>
        </w:rPr>
        <w:t xml:space="preserve">will again require a significant investment of time and resources in order to prepare the </w:t>
      </w:r>
      <w:r w:rsidR="003D578A" w:rsidRPr="008B1731">
        <w:rPr>
          <w:rFonts w:ascii="Times New Roman" w:hAnsi="Times New Roman"/>
          <w:i/>
        </w:rPr>
        <w:t>CAFR</w:t>
      </w:r>
      <w:r w:rsidR="003D578A" w:rsidRPr="008B1731">
        <w:rPr>
          <w:rFonts w:ascii="Times New Roman" w:hAnsi="Times New Roman"/>
        </w:rPr>
        <w:t xml:space="preserve">.  </w:t>
      </w:r>
      <w:r w:rsidR="00D312ED" w:rsidRPr="008B1731">
        <w:rPr>
          <w:rFonts w:ascii="Times New Roman" w:hAnsi="Times New Roman"/>
        </w:rPr>
        <w:t>The role of the State Accounting Office is to:</w:t>
      </w:r>
    </w:p>
    <w:p w14:paraId="4C825D25" w14:textId="77777777" w:rsidR="00D312ED" w:rsidRPr="008B1731" w:rsidRDefault="00D312ED" w:rsidP="007E1DE5">
      <w:pPr>
        <w:numPr>
          <w:ilvl w:val="0"/>
          <w:numId w:val="3"/>
        </w:numPr>
        <w:spacing w:after="0"/>
        <w:jc w:val="both"/>
        <w:rPr>
          <w:rFonts w:ascii="Times New Roman" w:hAnsi="Times New Roman"/>
        </w:rPr>
      </w:pPr>
      <w:r w:rsidRPr="008B1731">
        <w:rPr>
          <w:rFonts w:ascii="Times New Roman" w:hAnsi="Times New Roman"/>
        </w:rPr>
        <w:t xml:space="preserve">Obtain financial information from </w:t>
      </w:r>
      <w:r w:rsidR="00CF0FB1" w:rsidRPr="008B1731">
        <w:rPr>
          <w:rFonts w:ascii="Times New Roman" w:hAnsi="Times New Roman"/>
        </w:rPr>
        <w:t xml:space="preserve">organizations </w:t>
      </w:r>
      <w:r w:rsidRPr="008B1731">
        <w:rPr>
          <w:rFonts w:ascii="Times New Roman" w:hAnsi="Times New Roman"/>
        </w:rPr>
        <w:t>that do not submit audited financial statements</w:t>
      </w:r>
      <w:r w:rsidR="004C4186" w:rsidRPr="008B1731">
        <w:rPr>
          <w:rFonts w:ascii="Times New Roman" w:hAnsi="Times New Roman"/>
        </w:rPr>
        <w:t>;</w:t>
      </w:r>
    </w:p>
    <w:p w14:paraId="403C2FC8" w14:textId="77777777" w:rsidR="00D312ED" w:rsidRPr="008B1731" w:rsidRDefault="00D312ED" w:rsidP="007E1DE5">
      <w:pPr>
        <w:numPr>
          <w:ilvl w:val="0"/>
          <w:numId w:val="3"/>
        </w:numPr>
        <w:spacing w:after="0"/>
        <w:jc w:val="both"/>
        <w:rPr>
          <w:rFonts w:ascii="Times New Roman" w:hAnsi="Times New Roman"/>
        </w:rPr>
      </w:pPr>
      <w:r w:rsidRPr="008B1731">
        <w:rPr>
          <w:rFonts w:ascii="Times New Roman" w:hAnsi="Times New Roman"/>
        </w:rPr>
        <w:t>Compile financial information f</w:t>
      </w:r>
      <w:r w:rsidR="004C4186" w:rsidRPr="008B1731">
        <w:rPr>
          <w:rFonts w:ascii="Times New Roman" w:hAnsi="Times New Roman"/>
        </w:rPr>
        <w:t>rom</w:t>
      </w:r>
      <w:r w:rsidRPr="008B1731">
        <w:rPr>
          <w:rFonts w:ascii="Times New Roman" w:hAnsi="Times New Roman"/>
        </w:rPr>
        <w:t xml:space="preserve"> </w:t>
      </w:r>
      <w:r w:rsidR="00CF0FB1" w:rsidRPr="008B1731">
        <w:rPr>
          <w:rFonts w:ascii="Times New Roman" w:hAnsi="Times New Roman"/>
        </w:rPr>
        <w:t xml:space="preserve">organizations </w:t>
      </w:r>
      <w:r w:rsidRPr="008B1731">
        <w:rPr>
          <w:rFonts w:ascii="Times New Roman" w:hAnsi="Times New Roman"/>
        </w:rPr>
        <w:t>that do submit audited financial statements</w:t>
      </w:r>
      <w:r w:rsidR="004C4186" w:rsidRPr="008B1731">
        <w:rPr>
          <w:rFonts w:ascii="Times New Roman" w:hAnsi="Times New Roman"/>
        </w:rPr>
        <w:t>;</w:t>
      </w:r>
    </w:p>
    <w:p w14:paraId="6001CF3D" w14:textId="77777777" w:rsidR="00D312ED" w:rsidRPr="008B1731" w:rsidRDefault="00D312ED" w:rsidP="007E1DE5">
      <w:pPr>
        <w:numPr>
          <w:ilvl w:val="0"/>
          <w:numId w:val="3"/>
        </w:numPr>
        <w:spacing w:after="0"/>
        <w:jc w:val="both"/>
        <w:rPr>
          <w:rFonts w:ascii="Times New Roman" w:hAnsi="Times New Roman"/>
        </w:rPr>
      </w:pPr>
      <w:r w:rsidRPr="008B1731">
        <w:rPr>
          <w:rFonts w:ascii="Times New Roman" w:hAnsi="Times New Roman"/>
        </w:rPr>
        <w:t xml:space="preserve">Eliminate all of the internal activity between State </w:t>
      </w:r>
      <w:r w:rsidR="00CF0FB1" w:rsidRPr="008B1731">
        <w:rPr>
          <w:rFonts w:ascii="Times New Roman" w:hAnsi="Times New Roman"/>
        </w:rPr>
        <w:t>organizations</w:t>
      </w:r>
      <w:r w:rsidR="004C4186" w:rsidRPr="008B1731">
        <w:rPr>
          <w:rFonts w:ascii="Times New Roman" w:hAnsi="Times New Roman"/>
        </w:rPr>
        <w:t>;</w:t>
      </w:r>
    </w:p>
    <w:p w14:paraId="40785138" w14:textId="77777777" w:rsidR="00D312ED" w:rsidRPr="008B1731" w:rsidRDefault="00D312ED" w:rsidP="007E1DE5">
      <w:pPr>
        <w:numPr>
          <w:ilvl w:val="0"/>
          <w:numId w:val="3"/>
        </w:numPr>
        <w:spacing w:after="0"/>
        <w:jc w:val="both"/>
        <w:rPr>
          <w:rFonts w:ascii="Times New Roman" w:hAnsi="Times New Roman"/>
        </w:rPr>
      </w:pPr>
      <w:r w:rsidRPr="008B1731">
        <w:rPr>
          <w:rFonts w:ascii="Times New Roman" w:hAnsi="Times New Roman"/>
        </w:rPr>
        <w:t>Prepare the adjustments, footnotes, and analyses required to produce financial statements in compliance with GAAP</w:t>
      </w:r>
      <w:r w:rsidR="004C4186" w:rsidRPr="008B1731">
        <w:rPr>
          <w:rFonts w:ascii="Times New Roman" w:hAnsi="Times New Roman"/>
        </w:rPr>
        <w:t>;</w:t>
      </w:r>
    </w:p>
    <w:p w14:paraId="62D0A70F" w14:textId="77777777" w:rsidR="00CF0FB1" w:rsidRPr="008B1731" w:rsidRDefault="00CF0FB1" w:rsidP="007E1DE5">
      <w:pPr>
        <w:numPr>
          <w:ilvl w:val="0"/>
          <w:numId w:val="3"/>
        </w:numPr>
        <w:spacing w:after="0"/>
        <w:jc w:val="both"/>
        <w:rPr>
          <w:rFonts w:ascii="Times New Roman" w:hAnsi="Times New Roman"/>
        </w:rPr>
      </w:pPr>
      <w:r w:rsidRPr="008B1731">
        <w:rPr>
          <w:rFonts w:ascii="Times New Roman" w:hAnsi="Times New Roman"/>
        </w:rPr>
        <w:t xml:space="preserve">Convert financial information prepared on the budgetary basis to </w:t>
      </w:r>
      <w:r w:rsidR="00093150" w:rsidRPr="008B1731">
        <w:rPr>
          <w:rFonts w:ascii="Times New Roman" w:hAnsi="Times New Roman"/>
        </w:rPr>
        <w:t xml:space="preserve">the </w:t>
      </w:r>
      <w:r w:rsidRPr="008B1731">
        <w:rPr>
          <w:rFonts w:ascii="Times New Roman" w:hAnsi="Times New Roman"/>
        </w:rPr>
        <w:t>GAAP basis</w:t>
      </w:r>
      <w:r w:rsidR="004C4186" w:rsidRPr="008B1731">
        <w:rPr>
          <w:rFonts w:ascii="Times New Roman" w:hAnsi="Times New Roman"/>
        </w:rPr>
        <w:t>;</w:t>
      </w:r>
    </w:p>
    <w:p w14:paraId="79A5E2DB" w14:textId="77777777" w:rsidR="004A7245" w:rsidRPr="008B1731" w:rsidRDefault="004A7245" w:rsidP="007E1DE5">
      <w:pPr>
        <w:numPr>
          <w:ilvl w:val="0"/>
          <w:numId w:val="3"/>
        </w:numPr>
        <w:spacing w:after="0"/>
        <w:jc w:val="both"/>
        <w:rPr>
          <w:rFonts w:ascii="Times New Roman" w:hAnsi="Times New Roman"/>
        </w:rPr>
      </w:pPr>
      <w:r w:rsidRPr="008B1731">
        <w:rPr>
          <w:rFonts w:ascii="Times New Roman" w:hAnsi="Times New Roman"/>
        </w:rPr>
        <w:t xml:space="preserve">Produce the audited </w:t>
      </w:r>
      <w:r w:rsidRPr="008B1731">
        <w:rPr>
          <w:rFonts w:ascii="Times New Roman" w:hAnsi="Times New Roman"/>
          <w:i/>
        </w:rPr>
        <w:t>CAFR</w:t>
      </w:r>
      <w:r w:rsidRPr="008B1731">
        <w:rPr>
          <w:rFonts w:ascii="Times New Roman" w:hAnsi="Times New Roman"/>
        </w:rPr>
        <w:t xml:space="preserve"> and </w:t>
      </w:r>
      <w:r w:rsidRPr="008B1731">
        <w:rPr>
          <w:rFonts w:ascii="Times New Roman" w:hAnsi="Times New Roman"/>
          <w:i/>
        </w:rPr>
        <w:t>BCR</w:t>
      </w:r>
      <w:r w:rsidRPr="008B1731">
        <w:rPr>
          <w:rFonts w:ascii="Times New Roman" w:hAnsi="Times New Roman"/>
        </w:rPr>
        <w:t xml:space="preserve"> reports.</w:t>
      </w:r>
    </w:p>
    <w:p w14:paraId="6BFCE7CA" w14:textId="77777777" w:rsidR="005E01ED" w:rsidRDefault="005E01ED" w:rsidP="002A0047">
      <w:pPr>
        <w:jc w:val="both"/>
        <w:rPr>
          <w:rFonts w:ascii="Times New Roman" w:hAnsi="Times New Roman"/>
        </w:rPr>
      </w:pPr>
    </w:p>
    <w:p w14:paraId="60551084" w14:textId="77777777" w:rsidR="005E573B" w:rsidRPr="009954F7" w:rsidRDefault="00D312ED" w:rsidP="002A0047">
      <w:pPr>
        <w:jc w:val="both"/>
        <w:rPr>
          <w:rFonts w:ascii="Times New Roman" w:hAnsi="Times New Roman"/>
        </w:rPr>
      </w:pPr>
      <w:r w:rsidRPr="008B1731">
        <w:rPr>
          <w:rFonts w:ascii="Times New Roman" w:hAnsi="Times New Roman"/>
        </w:rPr>
        <w:t xml:space="preserve">Each of these steps requires a significant level of assistance from the </w:t>
      </w:r>
      <w:r w:rsidR="00CF0FB1" w:rsidRPr="008B1731">
        <w:rPr>
          <w:rFonts w:ascii="Times New Roman" w:hAnsi="Times New Roman"/>
        </w:rPr>
        <w:t xml:space="preserve">organizations </w:t>
      </w:r>
      <w:r w:rsidRPr="008B1731">
        <w:rPr>
          <w:rFonts w:ascii="Times New Roman" w:hAnsi="Times New Roman"/>
        </w:rPr>
        <w:t xml:space="preserve">that comprise </w:t>
      </w:r>
      <w:r w:rsidR="004C4186" w:rsidRPr="008B1731">
        <w:rPr>
          <w:rFonts w:ascii="Times New Roman" w:hAnsi="Times New Roman"/>
        </w:rPr>
        <w:t xml:space="preserve">the </w:t>
      </w:r>
      <w:r w:rsidRPr="008B1731">
        <w:rPr>
          <w:rFonts w:ascii="Times New Roman" w:hAnsi="Times New Roman"/>
          <w:i/>
        </w:rPr>
        <w:t>CAFR</w:t>
      </w:r>
      <w:r w:rsidRPr="008B1731">
        <w:rPr>
          <w:rFonts w:ascii="Times New Roman" w:hAnsi="Times New Roman"/>
        </w:rPr>
        <w:t>.  S</w:t>
      </w:r>
      <w:r w:rsidR="00CF0FB1" w:rsidRPr="008B1731">
        <w:rPr>
          <w:rFonts w:ascii="Times New Roman" w:hAnsi="Times New Roman"/>
        </w:rPr>
        <w:t>AO</w:t>
      </w:r>
      <w:r w:rsidRPr="008B1731">
        <w:rPr>
          <w:rFonts w:ascii="Times New Roman" w:hAnsi="Times New Roman"/>
        </w:rPr>
        <w:t xml:space="preserve"> </w:t>
      </w:r>
      <w:r w:rsidR="005A417E" w:rsidRPr="008B1731">
        <w:rPr>
          <w:rFonts w:ascii="Times New Roman" w:hAnsi="Times New Roman"/>
        </w:rPr>
        <w:t>creates the state level financial statements b</w:t>
      </w:r>
      <w:r w:rsidR="00350F79" w:rsidRPr="008B1731">
        <w:rPr>
          <w:rFonts w:ascii="Times New Roman" w:hAnsi="Times New Roman"/>
        </w:rPr>
        <w:t>ased on information in TeamWorks</w:t>
      </w:r>
      <w:r w:rsidR="005A417E" w:rsidRPr="008B1731">
        <w:rPr>
          <w:rFonts w:ascii="Times New Roman" w:hAnsi="Times New Roman"/>
        </w:rPr>
        <w:t xml:space="preserve"> and other sources</w:t>
      </w:r>
      <w:r w:rsidR="005A417E" w:rsidRPr="008B1731">
        <w:rPr>
          <w:rFonts w:ascii="Times New Roman" w:hAnsi="Times New Roman"/>
          <w:b/>
        </w:rPr>
        <w:t>.</w:t>
      </w:r>
      <w:r w:rsidR="009954F7">
        <w:rPr>
          <w:rFonts w:ascii="Times New Roman" w:hAnsi="Times New Roman"/>
          <w:b/>
        </w:rPr>
        <w:t xml:space="preserve">  </w:t>
      </w:r>
      <w:r w:rsidR="009954F7" w:rsidRPr="009954F7">
        <w:rPr>
          <w:rFonts w:ascii="Times New Roman" w:hAnsi="Times New Roman"/>
        </w:rPr>
        <w:t>To help ensure a successful 201</w:t>
      </w:r>
      <w:r w:rsidR="00154C0F">
        <w:rPr>
          <w:rFonts w:ascii="Times New Roman" w:hAnsi="Times New Roman"/>
        </w:rPr>
        <w:t>8</w:t>
      </w:r>
      <w:r w:rsidR="009954F7" w:rsidRPr="009954F7">
        <w:rPr>
          <w:rFonts w:ascii="Times New Roman" w:hAnsi="Times New Roman"/>
        </w:rPr>
        <w:t xml:space="preserve"> reporting season, SAO management will closely monitor the submissions of year-end forms and other necessary information required to complete the CAFR.  The office will report any areas of concern to agency management and OPB.</w:t>
      </w:r>
      <w:r w:rsidR="005A417E" w:rsidRPr="009954F7">
        <w:rPr>
          <w:rFonts w:ascii="Times New Roman" w:hAnsi="Times New Roman"/>
        </w:rPr>
        <w:t xml:space="preserve">  </w:t>
      </w:r>
    </w:p>
    <w:p w14:paraId="3A677397" w14:textId="77777777" w:rsidR="00E70D8E" w:rsidRPr="008B1731" w:rsidRDefault="003D578A" w:rsidP="005E573B">
      <w:pPr>
        <w:ind w:firstLine="360"/>
        <w:jc w:val="both"/>
        <w:rPr>
          <w:rFonts w:ascii="Times New Roman" w:hAnsi="Times New Roman"/>
          <w:b/>
        </w:rPr>
      </w:pPr>
      <w:r w:rsidRPr="008B1731">
        <w:rPr>
          <w:rFonts w:ascii="Times New Roman" w:hAnsi="Times New Roman"/>
          <w:b/>
        </w:rPr>
        <w:t>The role of each organization is to:</w:t>
      </w:r>
    </w:p>
    <w:p w14:paraId="2DCA4751" w14:textId="77777777" w:rsidR="005A417E" w:rsidRPr="008B1731" w:rsidRDefault="005A417E" w:rsidP="002A0047">
      <w:pPr>
        <w:numPr>
          <w:ilvl w:val="0"/>
          <w:numId w:val="17"/>
        </w:numPr>
        <w:spacing w:after="0"/>
        <w:jc w:val="both"/>
        <w:rPr>
          <w:rFonts w:ascii="Times New Roman" w:hAnsi="Times New Roman"/>
          <w:b/>
        </w:rPr>
      </w:pPr>
      <w:r w:rsidRPr="008B1731">
        <w:rPr>
          <w:rFonts w:ascii="Times New Roman" w:hAnsi="Times New Roman"/>
          <w:b/>
        </w:rPr>
        <w:t xml:space="preserve">Be accountable for </w:t>
      </w:r>
      <w:r w:rsidR="00960F6F" w:rsidRPr="008B1731">
        <w:rPr>
          <w:rFonts w:ascii="Times New Roman" w:hAnsi="Times New Roman"/>
          <w:b/>
        </w:rPr>
        <w:t xml:space="preserve">the </w:t>
      </w:r>
      <w:r w:rsidRPr="008B1731">
        <w:rPr>
          <w:rFonts w:ascii="Times New Roman" w:hAnsi="Times New Roman"/>
          <w:b/>
        </w:rPr>
        <w:t xml:space="preserve">financial statement information in </w:t>
      </w:r>
      <w:r w:rsidR="00350F79" w:rsidRPr="008B1731">
        <w:rPr>
          <w:rFonts w:ascii="Times New Roman" w:hAnsi="Times New Roman"/>
          <w:b/>
        </w:rPr>
        <w:t>TeamWorks</w:t>
      </w:r>
      <w:r w:rsidRPr="008B1731">
        <w:rPr>
          <w:rFonts w:ascii="Times New Roman" w:hAnsi="Times New Roman"/>
          <w:b/>
        </w:rPr>
        <w:t xml:space="preserve"> and</w:t>
      </w:r>
      <w:r w:rsidR="00960F6F" w:rsidRPr="008B1731">
        <w:rPr>
          <w:rFonts w:ascii="Times New Roman" w:hAnsi="Times New Roman"/>
          <w:b/>
        </w:rPr>
        <w:t>/or</w:t>
      </w:r>
      <w:r w:rsidRPr="008B1731">
        <w:rPr>
          <w:rFonts w:ascii="Times New Roman" w:hAnsi="Times New Roman"/>
          <w:b/>
        </w:rPr>
        <w:t xml:space="preserve"> other sources</w:t>
      </w:r>
      <w:r w:rsidR="00960F6F" w:rsidRPr="008B1731">
        <w:rPr>
          <w:rFonts w:ascii="Times New Roman" w:hAnsi="Times New Roman"/>
          <w:b/>
        </w:rPr>
        <w:t>;</w:t>
      </w:r>
    </w:p>
    <w:p w14:paraId="441EB1A3" w14:textId="77777777" w:rsidR="003D578A" w:rsidRPr="008B1731" w:rsidRDefault="003D578A" w:rsidP="002A0047">
      <w:pPr>
        <w:numPr>
          <w:ilvl w:val="0"/>
          <w:numId w:val="17"/>
        </w:numPr>
        <w:spacing w:after="0"/>
        <w:jc w:val="both"/>
        <w:rPr>
          <w:rFonts w:ascii="Times New Roman" w:hAnsi="Times New Roman"/>
          <w:b/>
        </w:rPr>
      </w:pPr>
      <w:r w:rsidRPr="008B1731">
        <w:rPr>
          <w:rFonts w:ascii="Times New Roman" w:hAnsi="Times New Roman"/>
          <w:b/>
        </w:rPr>
        <w:t>E</w:t>
      </w:r>
      <w:r w:rsidR="00D312ED" w:rsidRPr="008B1731">
        <w:rPr>
          <w:rFonts w:ascii="Times New Roman" w:hAnsi="Times New Roman"/>
          <w:b/>
        </w:rPr>
        <w:t>nsur</w:t>
      </w:r>
      <w:r w:rsidRPr="008B1731">
        <w:rPr>
          <w:rFonts w:ascii="Times New Roman" w:hAnsi="Times New Roman"/>
          <w:b/>
        </w:rPr>
        <w:t>e</w:t>
      </w:r>
      <w:r w:rsidR="00D312ED" w:rsidRPr="008B1731">
        <w:rPr>
          <w:rFonts w:ascii="Times New Roman" w:hAnsi="Times New Roman"/>
          <w:b/>
        </w:rPr>
        <w:t xml:space="preserve"> that any data submitted to the SAO for inclusion in </w:t>
      </w:r>
      <w:r w:rsidR="00960F6F" w:rsidRPr="008B1731">
        <w:rPr>
          <w:rFonts w:ascii="Times New Roman" w:hAnsi="Times New Roman"/>
          <w:b/>
        </w:rPr>
        <w:t xml:space="preserve">the </w:t>
      </w:r>
      <w:r w:rsidR="00D312ED" w:rsidRPr="008B1731">
        <w:rPr>
          <w:rFonts w:ascii="Times New Roman" w:hAnsi="Times New Roman"/>
          <w:b/>
          <w:i/>
        </w:rPr>
        <w:t>CAFR</w:t>
      </w:r>
      <w:r w:rsidR="00D312ED" w:rsidRPr="008B1731">
        <w:rPr>
          <w:rFonts w:ascii="Times New Roman" w:hAnsi="Times New Roman"/>
          <w:b/>
        </w:rPr>
        <w:t xml:space="preserve"> is accurate and reliable</w:t>
      </w:r>
      <w:r w:rsidRPr="008B1731">
        <w:rPr>
          <w:rFonts w:ascii="Times New Roman" w:hAnsi="Times New Roman"/>
          <w:b/>
        </w:rPr>
        <w:t>;</w:t>
      </w:r>
    </w:p>
    <w:p w14:paraId="6891916E" w14:textId="77777777" w:rsidR="003D578A" w:rsidRPr="008B1731" w:rsidRDefault="003D578A" w:rsidP="002A0047">
      <w:pPr>
        <w:numPr>
          <w:ilvl w:val="0"/>
          <w:numId w:val="17"/>
        </w:numPr>
        <w:spacing w:after="0"/>
        <w:jc w:val="both"/>
        <w:rPr>
          <w:rFonts w:ascii="Times New Roman" w:hAnsi="Times New Roman"/>
          <w:b/>
        </w:rPr>
      </w:pPr>
      <w:r w:rsidRPr="008B1731">
        <w:rPr>
          <w:rFonts w:ascii="Times New Roman" w:hAnsi="Times New Roman"/>
          <w:b/>
        </w:rPr>
        <w:t>T</w:t>
      </w:r>
      <w:r w:rsidR="00D312ED" w:rsidRPr="008B1731">
        <w:rPr>
          <w:rFonts w:ascii="Times New Roman" w:hAnsi="Times New Roman"/>
          <w:b/>
        </w:rPr>
        <w:t xml:space="preserve">ake responsibility for ensuring that the SAO, as well as the Department of Audits and Accounts, is informed of any issues, problems, or developments that could impact the accuracy of the </w:t>
      </w:r>
      <w:r w:rsidR="00D312ED" w:rsidRPr="008B1731">
        <w:rPr>
          <w:rFonts w:ascii="Times New Roman" w:hAnsi="Times New Roman"/>
          <w:b/>
          <w:i/>
        </w:rPr>
        <w:t>CAFR</w:t>
      </w:r>
      <w:r w:rsidRPr="008B1731">
        <w:rPr>
          <w:rFonts w:ascii="Times New Roman" w:hAnsi="Times New Roman"/>
          <w:b/>
        </w:rPr>
        <w:t>;</w:t>
      </w:r>
    </w:p>
    <w:p w14:paraId="33851349" w14:textId="77777777" w:rsidR="003D578A" w:rsidRPr="00CA4D60" w:rsidRDefault="003D578A" w:rsidP="002A0047">
      <w:pPr>
        <w:numPr>
          <w:ilvl w:val="0"/>
          <w:numId w:val="17"/>
        </w:numPr>
        <w:spacing w:after="0"/>
        <w:jc w:val="both"/>
        <w:rPr>
          <w:rFonts w:ascii="Times New Roman" w:hAnsi="Times New Roman"/>
          <w:b/>
        </w:rPr>
      </w:pPr>
      <w:r w:rsidRPr="00CA4D60">
        <w:rPr>
          <w:rFonts w:ascii="Times New Roman" w:hAnsi="Times New Roman"/>
          <w:b/>
        </w:rPr>
        <w:t>Submit all required information, disclosures, requests and forms on time</w:t>
      </w:r>
      <w:r w:rsidR="00101FAE" w:rsidRPr="00CA4D60">
        <w:rPr>
          <w:rFonts w:ascii="Times New Roman" w:hAnsi="Times New Roman"/>
          <w:b/>
        </w:rPr>
        <w:t>.</w:t>
      </w:r>
      <w:r w:rsidR="002C4986" w:rsidRPr="00CA4D60">
        <w:rPr>
          <w:rFonts w:ascii="Times New Roman" w:hAnsi="Times New Roman"/>
          <w:b/>
        </w:rPr>
        <w:t xml:space="preserve">  As per O.C. G.A. code section 50-5B-4, all organizations of state government and all officers, agents, and employees thereof shall conform and comply with the rules, regulations, policies, procedures, and forms devised, promulgated, and installed by the state accounting officer.  In addition, all organizations of state government shall submit statements, reports, information, and data necessary to enable the state accounting officer to complete the reports required under Code Sections 50-5B-4 and 50-5B-3.</w:t>
      </w:r>
    </w:p>
    <w:p w14:paraId="1341A7B2" w14:textId="77777777" w:rsidR="004905C7" w:rsidRPr="008B1731" w:rsidRDefault="004905C7" w:rsidP="004905C7">
      <w:pPr>
        <w:spacing w:after="0"/>
        <w:ind w:left="720"/>
        <w:jc w:val="both"/>
        <w:rPr>
          <w:rFonts w:ascii="Times New Roman" w:hAnsi="Times New Roman"/>
          <w:b/>
        </w:rPr>
      </w:pPr>
    </w:p>
    <w:p w14:paraId="58CB18C7" w14:textId="77777777" w:rsidR="00D312ED" w:rsidRPr="008B1731" w:rsidRDefault="00D312ED" w:rsidP="002A0047">
      <w:pPr>
        <w:spacing w:after="0"/>
        <w:ind w:left="720"/>
        <w:jc w:val="both"/>
        <w:rPr>
          <w:rFonts w:ascii="Times New Roman" w:hAnsi="Times New Roman"/>
          <w:sz w:val="12"/>
          <w:szCs w:val="12"/>
        </w:rPr>
      </w:pPr>
    </w:p>
    <w:p w14:paraId="02825E37" w14:textId="3C01F8FE" w:rsidR="00D312ED" w:rsidRPr="008B1731" w:rsidRDefault="00E70D8E" w:rsidP="002A0047">
      <w:pPr>
        <w:jc w:val="both"/>
        <w:rPr>
          <w:rFonts w:ascii="Times New Roman" w:hAnsi="Times New Roman"/>
          <w:b/>
          <w:u w:val="single"/>
        </w:rPr>
      </w:pPr>
      <w:r w:rsidRPr="008B1731">
        <w:rPr>
          <w:rFonts w:ascii="Times New Roman" w:hAnsi="Times New Roman"/>
        </w:rPr>
        <w:t xml:space="preserve">SAO’s target for this year is to </w:t>
      </w:r>
      <w:r w:rsidRPr="008B1731">
        <w:rPr>
          <w:rFonts w:ascii="Times New Roman" w:hAnsi="Times New Roman"/>
          <w:b/>
          <w:u w:val="single"/>
        </w:rPr>
        <w:t xml:space="preserve">issue the </w:t>
      </w:r>
      <w:r w:rsidR="004F586B" w:rsidRPr="008B1731">
        <w:rPr>
          <w:rFonts w:ascii="Times New Roman" w:hAnsi="Times New Roman"/>
          <w:b/>
          <w:u w:val="single"/>
        </w:rPr>
        <w:t>201</w:t>
      </w:r>
      <w:r w:rsidR="00D230F2">
        <w:rPr>
          <w:rFonts w:ascii="Times New Roman" w:hAnsi="Times New Roman"/>
          <w:b/>
          <w:u w:val="single"/>
        </w:rPr>
        <w:t>9</w:t>
      </w:r>
      <w:r w:rsidR="00452BC4" w:rsidRPr="008B1731">
        <w:rPr>
          <w:rFonts w:ascii="Times New Roman" w:hAnsi="Times New Roman"/>
          <w:b/>
          <w:u w:val="single"/>
        </w:rPr>
        <w:t xml:space="preserve"> </w:t>
      </w:r>
      <w:r w:rsidRPr="008B1731">
        <w:rPr>
          <w:rFonts w:ascii="Times New Roman" w:hAnsi="Times New Roman"/>
          <w:b/>
          <w:i/>
          <w:u w:val="single"/>
        </w:rPr>
        <w:t>CAFR</w:t>
      </w:r>
      <w:r w:rsidRPr="008B1731">
        <w:rPr>
          <w:rFonts w:ascii="Times New Roman" w:hAnsi="Times New Roman"/>
          <w:b/>
          <w:u w:val="single"/>
        </w:rPr>
        <w:t xml:space="preserve"> </w:t>
      </w:r>
      <w:r w:rsidR="003E6F1A" w:rsidRPr="008B1731">
        <w:rPr>
          <w:rFonts w:ascii="Times New Roman" w:hAnsi="Times New Roman"/>
          <w:b/>
          <w:u w:val="single"/>
        </w:rPr>
        <w:t>before December 31</w:t>
      </w:r>
      <w:proofErr w:type="gramStart"/>
      <w:r w:rsidR="003E6F1A" w:rsidRPr="008B1731">
        <w:rPr>
          <w:rFonts w:ascii="Times New Roman" w:hAnsi="Times New Roman"/>
          <w:b/>
          <w:u w:val="single"/>
          <w:vertAlign w:val="superscript"/>
        </w:rPr>
        <w:t>st</w:t>
      </w:r>
      <w:r w:rsidR="009B080F" w:rsidRPr="008B1731">
        <w:rPr>
          <w:rFonts w:ascii="Times New Roman" w:hAnsi="Times New Roman"/>
          <w:b/>
          <w:u w:val="single"/>
          <w:vertAlign w:val="superscript"/>
        </w:rPr>
        <w:t>,</w:t>
      </w:r>
      <w:r w:rsidR="009B080F" w:rsidRPr="008B1731">
        <w:rPr>
          <w:rFonts w:ascii="Times New Roman" w:hAnsi="Times New Roman"/>
          <w:b/>
          <w:u w:val="single"/>
        </w:rPr>
        <w:t>,</w:t>
      </w:r>
      <w:proofErr w:type="gramEnd"/>
      <w:r w:rsidR="009B080F" w:rsidRPr="008B1731">
        <w:rPr>
          <w:rFonts w:ascii="Times New Roman" w:hAnsi="Times New Roman"/>
          <w:b/>
          <w:u w:val="single"/>
        </w:rPr>
        <w:t xml:space="preserve"> </w:t>
      </w:r>
      <w:r w:rsidR="004F586B" w:rsidRPr="008B1731">
        <w:rPr>
          <w:rFonts w:ascii="Times New Roman" w:hAnsi="Times New Roman"/>
          <w:b/>
          <w:u w:val="single"/>
        </w:rPr>
        <w:t>201</w:t>
      </w:r>
      <w:r w:rsidR="00D230F2">
        <w:rPr>
          <w:rFonts w:ascii="Times New Roman" w:hAnsi="Times New Roman"/>
          <w:b/>
          <w:u w:val="single"/>
        </w:rPr>
        <w:t>9</w:t>
      </w:r>
      <w:r w:rsidR="00FA0066" w:rsidRPr="008B1731">
        <w:rPr>
          <w:rFonts w:ascii="Times New Roman" w:hAnsi="Times New Roman"/>
          <w:b/>
          <w:u w:val="single"/>
        </w:rPr>
        <w:t>.</w:t>
      </w:r>
      <w:r w:rsidR="00920588">
        <w:rPr>
          <w:rFonts w:ascii="Times New Roman" w:hAnsi="Times New Roman"/>
          <w:b/>
          <w:u w:val="single"/>
        </w:rPr>
        <w:t xml:space="preserve"> </w:t>
      </w:r>
      <w:r w:rsidR="00E6086C">
        <w:rPr>
          <w:rFonts w:ascii="Times New Roman" w:hAnsi="Times New Roman"/>
          <w:b/>
          <w:color w:val="FF0000"/>
        </w:rPr>
        <w:t xml:space="preserve"> </w:t>
      </w:r>
      <w:r w:rsidR="00CF0FB1" w:rsidRPr="008B1731">
        <w:rPr>
          <w:rFonts w:ascii="Times New Roman" w:hAnsi="Times New Roman"/>
        </w:rPr>
        <w:t>SAO</w:t>
      </w:r>
      <w:r w:rsidR="00D54D5B" w:rsidRPr="008B1731">
        <w:rPr>
          <w:rFonts w:ascii="Times New Roman" w:hAnsi="Times New Roman"/>
        </w:rPr>
        <w:t xml:space="preserve"> continues to make </w:t>
      </w:r>
      <w:r w:rsidR="00D312ED" w:rsidRPr="008B1731">
        <w:rPr>
          <w:rFonts w:ascii="Times New Roman" w:hAnsi="Times New Roman"/>
        </w:rPr>
        <w:t xml:space="preserve">enhancements to the </w:t>
      </w:r>
      <w:r w:rsidR="00D312ED" w:rsidRPr="008B1731">
        <w:rPr>
          <w:rFonts w:ascii="Times New Roman" w:hAnsi="Times New Roman"/>
          <w:i/>
        </w:rPr>
        <w:t>CAFR</w:t>
      </w:r>
      <w:r w:rsidR="00D312ED" w:rsidRPr="008B1731">
        <w:rPr>
          <w:rFonts w:ascii="Times New Roman" w:hAnsi="Times New Roman"/>
        </w:rPr>
        <w:t xml:space="preserve"> process with the goal</w:t>
      </w:r>
      <w:r w:rsidR="00101FAE" w:rsidRPr="008B1731">
        <w:rPr>
          <w:rFonts w:ascii="Times New Roman" w:hAnsi="Times New Roman"/>
        </w:rPr>
        <w:t>s</w:t>
      </w:r>
      <w:r w:rsidR="00D312ED" w:rsidRPr="008B1731">
        <w:rPr>
          <w:rFonts w:ascii="Times New Roman" w:hAnsi="Times New Roman"/>
        </w:rPr>
        <w:t xml:space="preserve"> of</w:t>
      </w:r>
      <w:r w:rsidRPr="008B1731">
        <w:rPr>
          <w:rFonts w:ascii="Times New Roman" w:hAnsi="Times New Roman"/>
        </w:rPr>
        <w:t xml:space="preserve"> achieving this date and</w:t>
      </w:r>
      <w:r w:rsidR="00D312ED" w:rsidRPr="008B1731">
        <w:rPr>
          <w:rFonts w:ascii="Times New Roman" w:hAnsi="Times New Roman"/>
        </w:rPr>
        <w:t xml:space="preserve"> improving the accuracy and timeliness of Georgia’s year-end financial reporting.  These improvements include:</w:t>
      </w:r>
    </w:p>
    <w:p w14:paraId="5E65283D" w14:textId="77777777" w:rsidR="00154C0F" w:rsidRDefault="00154C0F" w:rsidP="00154C0F">
      <w:pPr>
        <w:spacing w:after="0" w:line="240" w:lineRule="auto"/>
        <w:ind w:left="720"/>
        <w:jc w:val="both"/>
        <w:rPr>
          <w:rFonts w:ascii="Times New Roman" w:hAnsi="Times New Roman"/>
        </w:rPr>
      </w:pPr>
    </w:p>
    <w:p w14:paraId="69C59835" w14:textId="77777777" w:rsidR="00154C0F" w:rsidRDefault="00154C0F" w:rsidP="00154C0F">
      <w:pPr>
        <w:spacing w:after="0" w:line="240" w:lineRule="auto"/>
        <w:ind w:left="720"/>
        <w:jc w:val="both"/>
        <w:rPr>
          <w:rFonts w:ascii="Times New Roman" w:hAnsi="Times New Roman"/>
        </w:rPr>
      </w:pPr>
    </w:p>
    <w:p w14:paraId="5C6D173F" w14:textId="77777777" w:rsidR="00D312ED" w:rsidRPr="008B1731" w:rsidRDefault="00D54D5B" w:rsidP="002A0047">
      <w:pPr>
        <w:numPr>
          <w:ilvl w:val="0"/>
          <w:numId w:val="2"/>
        </w:numPr>
        <w:spacing w:after="0" w:line="240" w:lineRule="auto"/>
        <w:jc w:val="both"/>
        <w:rPr>
          <w:rFonts w:ascii="Times New Roman" w:hAnsi="Times New Roman"/>
        </w:rPr>
      </w:pPr>
      <w:r w:rsidRPr="008B1731">
        <w:rPr>
          <w:rFonts w:ascii="Times New Roman" w:hAnsi="Times New Roman"/>
        </w:rPr>
        <w:t xml:space="preserve">Annual review and updates to the </w:t>
      </w:r>
      <w:r w:rsidR="00D312ED" w:rsidRPr="008B1731">
        <w:rPr>
          <w:rFonts w:ascii="Times New Roman" w:hAnsi="Times New Roman"/>
        </w:rPr>
        <w:t xml:space="preserve">forms and instructions used to obtain </w:t>
      </w:r>
      <w:r w:rsidR="0062432F" w:rsidRPr="008B1731">
        <w:rPr>
          <w:rFonts w:ascii="Times New Roman" w:hAnsi="Times New Roman"/>
        </w:rPr>
        <w:t>organization</w:t>
      </w:r>
      <w:r w:rsidR="00D312ED" w:rsidRPr="008B1731">
        <w:rPr>
          <w:rFonts w:ascii="Times New Roman" w:hAnsi="Times New Roman"/>
        </w:rPr>
        <w:t xml:space="preserve"> financial information to improve their clarity and the accuracy of submitted data;</w:t>
      </w:r>
    </w:p>
    <w:p w14:paraId="6021BE9A" w14:textId="77777777" w:rsidR="004A7245" w:rsidRPr="008B1731" w:rsidRDefault="004A7245" w:rsidP="002A0047">
      <w:pPr>
        <w:numPr>
          <w:ilvl w:val="0"/>
          <w:numId w:val="2"/>
        </w:numPr>
        <w:spacing w:after="0" w:line="240" w:lineRule="auto"/>
        <w:jc w:val="both"/>
        <w:rPr>
          <w:rFonts w:ascii="Times New Roman" w:hAnsi="Times New Roman"/>
        </w:rPr>
      </w:pPr>
      <w:r w:rsidRPr="008B1731">
        <w:rPr>
          <w:rFonts w:ascii="Times New Roman" w:hAnsi="Times New Roman"/>
        </w:rPr>
        <w:t xml:space="preserve">Providing </w:t>
      </w:r>
      <w:r w:rsidR="00D54D5B" w:rsidRPr="008B1731">
        <w:rPr>
          <w:rFonts w:ascii="Times New Roman" w:hAnsi="Times New Roman"/>
        </w:rPr>
        <w:t xml:space="preserve">updated </w:t>
      </w:r>
      <w:r w:rsidR="005E573B" w:rsidRPr="008B1731">
        <w:rPr>
          <w:rFonts w:ascii="Times New Roman" w:hAnsi="Times New Roman"/>
        </w:rPr>
        <w:t xml:space="preserve">online </w:t>
      </w:r>
      <w:r w:rsidRPr="008B1731">
        <w:rPr>
          <w:rFonts w:ascii="Times New Roman" w:hAnsi="Times New Roman"/>
        </w:rPr>
        <w:t xml:space="preserve">year-end training </w:t>
      </w:r>
      <w:r w:rsidR="005E573B" w:rsidRPr="008B1731">
        <w:rPr>
          <w:rFonts w:ascii="Times New Roman" w:hAnsi="Times New Roman"/>
        </w:rPr>
        <w:t>videos for the majority of the year-end forms</w:t>
      </w:r>
      <w:r w:rsidRPr="008B1731">
        <w:rPr>
          <w:rFonts w:ascii="Times New Roman" w:hAnsi="Times New Roman"/>
        </w:rPr>
        <w:t>;</w:t>
      </w:r>
    </w:p>
    <w:p w14:paraId="0999F74F" w14:textId="77777777" w:rsidR="00D312ED" w:rsidRPr="008B1731" w:rsidRDefault="00D312ED" w:rsidP="002A0047">
      <w:pPr>
        <w:numPr>
          <w:ilvl w:val="0"/>
          <w:numId w:val="2"/>
        </w:numPr>
        <w:spacing w:after="0" w:line="240" w:lineRule="auto"/>
        <w:jc w:val="both"/>
        <w:rPr>
          <w:rFonts w:ascii="Times New Roman" w:hAnsi="Times New Roman"/>
        </w:rPr>
      </w:pPr>
      <w:r w:rsidRPr="008B1731">
        <w:rPr>
          <w:rFonts w:ascii="Times New Roman" w:hAnsi="Times New Roman"/>
        </w:rPr>
        <w:t xml:space="preserve">Establishing detailed timelines with critical milestones for both the </w:t>
      </w:r>
      <w:r w:rsidR="00CF0FB1" w:rsidRPr="008B1731">
        <w:rPr>
          <w:rFonts w:ascii="Times New Roman" w:hAnsi="Times New Roman"/>
        </w:rPr>
        <w:t xml:space="preserve">organizations </w:t>
      </w:r>
      <w:r w:rsidRPr="008B1731">
        <w:rPr>
          <w:rFonts w:ascii="Times New Roman" w:hAnsi="Times New Roman"/>
        </w:rPr>
        <w:t xml:space="preserve">and the SAO to ensure the project is properly planned and the workload can be distributed over the </w:t>
      </w:r>
      <w:r w:rsidRPr="008B1731">
        <w:rPr>
          <w:rFonts w:ascii="Times New Roman" w:hAnsi="Times New Roman"/>
          <w:i/>
        </w:rPr>
        <w:t>CAFR</w:t>
      </w:r>
      <w:r w:rsidR="00F70783">
        <w:rPr>
          <w:rFonts w:ascii="Times New Roman" w:hAnsi="Times New Roman"/>
        </w:rPr>
        <w:t xml:space="preserve"> preparation period.</w:t>
      </w:r>
    </w:p>
    <w:p w14:paraId="72B1519C" w14:textId="77777777" w:rsidR="00E70D8E" w:rsidRPr="008B1731" w:rsidRDefault="00E70D8E" w:rsidP="002A0047">
      <w:pPr>
        <w:spacing w:after="0" w:line="240" w:lineRule="auto"/>
        <w:jc w:val="both"/>
        <w:rPr>
          <w:rFonts w:ascii="Times New Roman" w:hAnsi="Times New Roman"/>
          <w:b/>
          <w:sz w:val="28"/>
          <w:szCs w:val="28"/>
        </w:rPr>
      </w:pPr>
    </w:p>
    <w:p w14:paraId="1794CB8E" w14:textId="77777777" w:rsidR="00601A44" w:rsidRPr="008B1731" w:rsidRDefault="007A2BCF" w:rsidP="007A2BCF">
      <w:pPr>
        <w:jc w:val="center"/>
        <w:rPr>
          <w:rFonts w:ascii="Times New Roman" w:hAnsi="Times New Roman"/>
          <w:b/>
          <w:sz w:val="28"/>
          <w:szCs w:val="28"/>
        </w:rPr>
      </w:pPr>
      <w:r w:rsidRPr="008B1731">
        <w:rPr>
          <w:rFonts w:ascii="Times New Roman" w:hAnsi="Times New Roman"/>
          <w:b/>
          <w:sz w:val="28"/>
          <w:szCs w:val="28"/>
        </w:rPr>
        <w:t>Management Representation Letter</w:t>
      </w:r>
    </w:p>
    <w:p w14:paraId="4251C00E" w14:textId="77777777" w:rsidR="007A2BCF" w:rsidRPr="008B1731" w:rsidRDefault="007A2BCF" w:rsidP="006E33A1">
      <w:pPr>
        <w:rPr>
          <w:rFonts w:ascii="Times New Roman" w:hAnsi="Times New Roman"/>
        </w:rPr>
      </w:pPr>
    </w:p>
    <w:p w14:paraId="5541BF23" w14:textId="251DE224" w:rsidR="007A2BCF" w:rsidRPr="008B1731" w:rsidRDefault="007A2BCF" w:rsidP="007A2BCF">
      <w:pPr>
        <w:jc w:val="both"/>
        <w:rPr>
          <w:rFonts w:ascii="Times New Roman" w:hAnsi="Times New Roman"/>
        </w:rPr>
      </w:pPr>
      <w:r w:rsidRPr="008B1731">
        <w:rPr>
          <w:rFonts w:ascii="Times New Roman" w:hAnsi="Times New Roman"/>
        </w:rPr>
        <w:t xml:space="preserve">Please prepare a version of the letter included in </w:t>
      </w:r>
      <w:r w:rsidR="00245A34">
        <w:rPr>
          <w:rFonts w:ascii="Times New Roman" w:hAnsi="Times New Roman"/>
        </w:rPr>
        <w:t>201</w:t>
      </w:r>
      <w:r w:rsidR="00D230F2">
        <w:rPr>
          <w:rFonts w:ascii="Times New Roman" w:hAnsi="Times New Roman"/>
        </w:rPr>
        <w:t>9</w:t>
      </w:r>
      <w:r w:rsidR="002C3B92" w:rsidRPr="008B1731">
        <w:rPr>
          <w:rFonts w:ascii="Times New Roman" w:hAnsi="Times New Roman"/>
        </w:rPr>
        <w:t xml:space="preserve"> </w:t>
      </w:r>
      <w:r w:rsidRPr="008B1731">
        <w:rPr>
          <w:rFonts w:ascii="Times New Roman" w:hAnsi="Times New Roman"/>
        </w:rPr>
        <w:t xml:space="preserve">Year End Representation.doc, included in the reporting package, on the reporting organization’s letterhead.  </w:t>
      </w:r>
      <w:r w:rsidRPr="008B1731">
        <w:rPr>
          <w:rFonts w:ascii="Times New Roman" w:hAnsi="Times New Roman"/>
          <w:b/>
          <w:color w:val="FF0000"/>
        </w:rPr>
        <w:t>Return the completed letter once all files, financial statements and forms have been submitted to SAO</w:t>
      </w:r>
      <w:r w:rsidR="00DB464C" w:rsidRPr="008B1731">
        <w:rPr>
          <w:rFonts w:ascii="Times New Roman" w:hAnsi="Times New Roman"/>
          <w:b/>
          <w:color w:val="FF0000"/>
        </w:rPr>
        <w:t xml:space="preserve"> </w:t>
      </w:r>
      <w:r w:rsidR="00A026C5">
        <w:rPr>
          <w:rFonts w:ascii="Times New Roman" w:hAnsi="Times New Roman"/>
          <w:b/>
          <w:color w:val="FF0000"/>
        </w:rPr>
        <w:t>(no later than 11</w:t>
      </w:r>
      <w:r w:rsidR="006427CC" w:rsidRPr="00DB1B50">
        <w:rPr>
          <w:rFonts w:ascii="Times New Roman" w:hAnsi="Times New Roman"/>
          <w:b/>
          <w:color w:val="FF0000"/>
        </w:rPr>
        <w:t>/</w:t>
      </w:r>
      <w:r w:rsidR="00D56A11">
        <w:rPr>
          <w:rFonts w:ascii="Times New Roman" w:hAnsi="Times New Roman"/>
          <w:b/>
          <w:color w:val="FF0000"/>
        </w:rPr>
        <w:t>1</w:t>
      </w:r>
      <w:r w:rsidR="00D230F2">
        <w:rPr>
          <w:rFonts w:ascii="Times New Roman" w:hAnsi="Times New Roman"/>
          <w:b/>
          <w:color w:val="FF0000"/>
        </w:rPr>
        <w:t>5</w:t>
      </w:r>
      <w:r w:rsidR="00D56A11">
        <w:rPr>
          <w:rFonts w:ascii="Times New Roman" w:hAnsi="Times New Roman"/>
          <w:b/>
          <w:color w:val="FF0000"/>
        </w:rPr>
        <w:t>/</w:t>
      </w:r>
      <w:r w:rsidR="006427CC" w:rsidRPr="00DB1B50">
        <w:rPr>
          <w:rFonts w:ascii="Times New Roman" w:hAnsi="Times New Roman"/>
          <w:b/>
          <w:color w:val="FF0000"/>
        </w:rPr>
        <w:t>201</w:t>
      </w:r>
      <w:r w:rsidR="00D230F2">
        <w:rPr>
          <w:rFonts w:ascii="Times New Roman" w:hAnsi="Times New Roman"/>
          <w:b/>
          <w:color w:val="FF0000"/>
        </w:rPr>
        <w:t>9</w:t>
      </w:r>
      <w:r w:rsidR="006427CC" w:rsidRPr="00DB1B50">
        <w:rPr>
          <w:rFonts w:ascii="Times New Roman" w:hAnsi="Times New Roman"/>
          <w:b/>
          <w:color w:val="FF0000"/>
        </w:rPr>
        <w:t>)</w:t>
      </w:r>
      <w:r w:rsidRPr="00DB1B50">
        <w:rPr>
          <w:rFonts w:ascii="Times New Roman" w:hAnsi="Times New Roman"/>
          <w:b/>
          <w:color w:val="FF0000"/>
        </w:rPr>
        <w:t>.</w:t>
      </w:r>
      <w:r w:rsidRPr="008B1731">
        <w:rPr>
          <w:rFonts w:ascii="Times New Roman" w:hAnsi="Times New Roman"/>
        </w:rPr>
        <w:t xml:space="preserve"> This letter can either be faxed to 404-463-5089 or scanned and emailed to SAO_Reporting@sao.ga.gov.</w:t>
      </w:r>
      <w:bookmarkStart w:id="0" w:name="_GoBack"/>
      <w:bookmarkEnd w:id="0"/>
    </w:p>
    <w:sectPr w:rsidR="007A2BCF" w:rsidRPr="008B1731" w:rsidSect="005E573B">
      <w:type w:val="continuous"/>
      <w:pgSz w:w="12240" w:h="15840" w:code="1"/>
      <w:pgMar w:top="1440" w:right="1440" w:bottom="1440" w:left="1440" w:header="720" w:footer="432"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402A" w14:textId="77777777" w:rsidR="005D58E6" w:rsidRDefault="005D58E6" w:rsidP="00671A8D">
      <w:pPr>
        <w:spacing w:after="0" w:line="240" w:lineRule="auto"/>
      </w:pPr>
      <w:r>
        <w:separator/>
      </w:r>
    </w:p>
  </w:endnote>
  <w:endnote w:type="continuationSeparator" w:id="0">
    <w:p w14:paraId="587890AF" w14:textId="77777777" w:rsidR="005D58E6" w:rsidRDefault="005D58E6" w:rsidP="0067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8AB0" w14:textId="77777777" w:rsidR="005D58E6" w:rsidRDefault="005D58E6" w:rsidP="00671A8D">
      <w:pPr>
        <w:spacing w:after="0" w:line="240" w:lineRule="auto"/>
      </w:pPr>
      <w:r>
        <w:separator/>
      </w:r>
    </w:p>
  </w:footnote>
  <w:footnote w:type="continuationSeparator" w:id="0">
    <w:p w14:paraId="032CF349" w14:textId="77777777" w:rsidR="005D58E6" w:rsidRDefault="005D58E6" w:rsidP="0067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3408" w14:textId="77777777" w:rsidR="00843310" w:rsidRDefault="009E0D92">
    <w:pPr>
      <w:pStyle w:val="Header"/>
    </w:pPr>
    <w:r>
      <w:rPr>
        <w:noProof/>
      </w:rPr>
      <w:drawing>
        <wp:inline distT="0" distB="0" distL="0" distR="0" wp14:anchorId="0A1EB54A" wp14:editId="571D9E64">
          <wp:extent cx="1381125" cy="771525"/>
          <wp:effectExtent l="0" t="0" r="0" b="9525"/>
          <wp:docPr id="1" name="Picture 1" descr="SAO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713"/>
    <w:multiLevelType w:val="hybridMultilevel"/>
    <w:tmpl w:val="57EEA88A"/>
    <w:lvl w:ilvl="0" w:tplc="A392B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2F21"/>
    <w:multiLevelType w:val="hybridMultilevel"/>
    <w:tmpl w:val="A4E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7602"/>
    <w:multiLevelType w:val="hybridMultilevel"/>
    <w:tmpl w:val="039E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4FA2"/>
    <w:multiLevelType w:val="hybridMultilevel"/>
    <w:tmpl w:val="613E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4BFE"/>
    <w:multiLevelType w:val="singleLevel"/>
    <w:tmpl w:val="A8E60D72"/>
    <w:lvl w:ilvl="0">
      <w:start w:val="1"/>
      <w:numFmt w:val="decimal"/>
      <w:pStyle w:val="Normal11pt"/>
      <w:lvlText w:val="%1."/>
      <w:lvlJc w:val="left"/>
      <w:pPr>
        <w:tabs>
          <w:tab w:val="num" w:pos="720"/>
        </w:tabs>
        <w:ind w:left="720" w:hanging="720"/>
      </w:pPr>
      <w:rPr>
        <w:rFonts w:hint="default"/>
      </w:rPr>
    </w:lvl>
  </w:abstractNum>
  <w:abstractNum w:abstractNumId="5" w15:restartNumberingAfterBreak="0">
    <w:nsid w:val="236E7013"/>
    <w:multiLevelType w:val="hybridMultilevel"/>
    <w:tmpl w:val="B31A8B6A"/>
    <w:lvl w:ilvl="0" w:tplc="220A5BD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E13F0"/>
    <w:multiLevelType w:val="hybridMultilevel"/>
    <w:tmpl w:val="A8381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329E4"/>
    <w:multiLevelType w:val="hybridMultilevel"/>
    <w:tmpl w:val="6EB2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501EB"/>
    <w:multiLevelType w:val="hybridMultilevel"/>
    <w:tmpl w:val="925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2F8D"/>
    <w:multiLevelType w:val="hybridMultilevel"/>
    <w:tmpl w:val="613E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32C47"/>
    <w:multiLevelType w:val="hybridMultilevel"/>
    <w:tmpl w:val="B964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B498E"/>
    <w:multiLevelType w:val="hybridMultilevel"/>
    <w:tmpl w:val="1A32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7703D"/>
    <w:multiLevelType w:val="hybridMultilevel"/>
    <w:tmpl w:val="F60E3A9E"/>
    <w:lvl w:ilvl="0" w:tplc="08A2710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481542"/>
    <w:multiLevelType w:val="hybridMultilevel"/>
    <w:tmpl w:val="D38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F1B72"/>
    <w:multiLevelType w:val="hybridMultilevel"/>
    <w:tmpl w:val="4FAE1FD2"/>
    <w:lvl w:ilvl="0" w:tplc="24C033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9C323B"/>
    <w:multiLevelType w:val="hybridMultilevel"/>
    <w:tmpl w:val="E1D0A0AA"/>
    <w:lvl w:ilvl="0" w:tplc="9E7C9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3020F4"/>
    <w:multiLevelType w:val="hybridMultilevel"/>
    <w:tmpl w:val="AC385652"/>
    <w:lvl w:ilvl="0" w:tplc="A392B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B0BEA"/>
    <w:multiLevelType w:val="hybridMultilevel"/>
    <w:tmpl w:val="89785E62"/>
    <w:lvl w:ilvl="0" w:tplc="5B46F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D54A6"/>
    <w:multiLevelType w:val="hybridMultilevel"/>
    <w:tmpl w:val="613E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C202C"/>
    <w:multiLevelType w:val="hybridMultilevel"/>
    <w:tmpl w:val="C4D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91E01"/>
    <w:multiLevelType w:val="hybridMultilevel"/>
    <w:tmpl w:val="541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8"/>
  </w:num>
  <w:num w:numId="5">
    <w:abstractNumId w:val="3"/>
  </w:num>
  <w:num w:numId="6">
    <w:abstractNumId w:val="7"/>
  </w:num>
  <w:num w:numId="7">
    <w:abstractNumId w:val="9"/>
  </w:num>
  <w:num w:numId="8">
    <w:abstractNumId w:val="10"/>
  </w:num>
  <w:num w:numId="9">
    <w:abstractNumId w:val="2"/>
  </w:num>
  <w:num w:numId="10">
    <w:abstractNumId w:val="17"/>
  </w:num>
  <w:num w:numId="11">
    <w:abstractNumId w:val="13"/>
  </w:num>
  <w:num w:numId="12">
    <w:abstractNumId w:val="19"/>
  </w:num>
  <w:num w:numId="13">
    <w:abstractNumId w:val="4"/>
  </w:num>
  <w:num w:numId="14">
    <w:abstractNumId w:val="12"/>
  </w:num>
  <w:num w:numId="15">
    <w:abstractNumId w:val="5"/>
  </w:num>
  <w:num w:numId="16">
    <w:abstractNumId w:val="8"/>
  </w:num>
  <w:num w:numId="17">
    <w:abstractNumId w:val="16"/>
  </w:num>
  <w:num w:numId="18">
    <w:abstractNumId w:val="14"/>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8D"/>
    <w:rsid w:val="000058A8"/>
    <w:rsid w:val="000139B9"/>
    <w:rsid w:val="000155AF"/>
    <w:rsid w:val="0002169B"/>
    <w:rsid w:val="000304DF"/>
    <w:rsid w:val="00030EF2"/>
    <w:rsid w:val="00035D72"/>
    <w:rsid w:val="00042A8B"/>
    <w:rsid w:val="00043090"/>
    <w:rsid w:val="00044BC6"/>
    <w:rsid w:val="0005339A"/>
    <w:rsid w:val="000765EA"/>
    <w:rsid w:val="00093150"/>
    <w:rsid w:val="00095006"/>
    <w:rsid w:val="000A73A6"/>
    <w:rsid w:val="000B448C"/>
    <w:rsid w:val="000D0F52"/>
    <w:rsid w:val="000D764F"/>
    <w:rsid w:val="000E0270"/>
    <w:rsid w:val="000E13A6"/>
    <w:rsid w:val="00101FAE"/>
    <w:rsid w:val="00103014"/>
    <w:rsid w:val="0012145A"/>
    <w:rsid w:val="00125763"/>
    <w:rsid w:val="001314DA"/>
    <w:rsid w:val="001476C5"/>
    <w:rsid w:val="00154C0F"/>
    <w:rsid w:val="00155ED7"/>
    <w:rsid w:val="00157FBC"/>
    <w:rsid w:val="0018746C"/>
    <w:rsid w:val="001963CC"/>
    <w:rsid w:val="00196735"/>
    <w:rsid w:val="001968B3"/>
    <w:rsid w:val="001A6B1B"/>
    <w:rsid w:val="001B24E4"/>
    <w:rsid w:val="001D03D2"/>
    <w:rsid w:val="001D450F"/>
    <w:rsid w:val="001D53F9"/>
    <w:rsid w:val="001F2972"/>
    <w:rsid w:val="001F5C80"/>
    <w:rsid w:val="002045D5"/>
    <w:rsid w:val="0020520F"/>
    <w:rsid w:val="0021065C"/>
    <w:rsid w:val="00211EB6"/>
    <w:rsid w:val="00240B6A"/>
    <w:rsid w:val="00241058"/>
    <w:rsid w:val="0024250B"/>
    <w:rsid w:val="00245A34"/>
    <w:rsid w:val="002563F2"/>
    <w:rsid w:val="00277735"/>
    <w:rsid w:val="00280C21"/>
    <w:rsid w:val="00293CB9"/>
    <w:rsid w:val="002A0047"/>
    <w:rsid w:val="002A089C"/>
    <w:rsid w:val="002A15A0"/>
    <w:rsid w:val="002A66F4"/>
    <w:rsid w:val="002C357B"/>
    <w:rsid w:val="002C3B92"/>
    <w:rsid w:val="002C4986"/>
    <w:rsid w:val="002E10F1"/>
    <w:rsid w:val="002F46FD"/>
    <w:rsid w:val="00306970"/>
    <w:rsid w:val="003403EC"/>
    <w:rsid w:val="00350F79"/>
    <w:rsid w:val="003639FF"/>
    <w:rsid w:val="00380EC1"/>
    <w:rsid w:val="00392B27"/>
    <w:rsid w:val="003B6ACA"/>
    <w:rsid w:val="003C5562"/>
    <w:rsid w:val="003D08B3"/>
    <w:rsid w:val="003D578A"/>
    <w:rsid w:val="003D7C03"/>
    <w:rsid w:val="003D7CCE"/>
    <w:rsid w:val="003E1540"/>
    <w:rsid w:val="003E6F1A"/>
    <w:rsid w:val="00402747"/>
    <w:rsid w:val="004029B1"/>
    <w:rsid w:val="00431A87"/>
    <w:rsid w:val="00443D76"/>
    <w:rsid w:val="00452BC4"/>
    <w:rsid w:val="00484725"/>
    <w:rsid w:val="004878AB"/>
    <w:rsid w:val="004905C7"/>
    <w:rsid w:val="00494DD0"/>
    <w:rsid w:val="004978EF"/>
    <w:rsid w:val="004A12FF"/>
    <w:rsid w:val="004A4FE7"/>
    <w:rsid w:val="004A620B"/>
    <w:rsid w:val="004A7245"/>
    <w:rsid w:val="004B1A4E"/>
    <w:rsid w:val="004B1BE9"/>
    <w:rsid w:val="004B7702"/>
    <w:rsid w:val="004C089A"/>
    <w:rsid w:val="004C0913"/>
    <w:rsid w:val="004C1D7B"/>
    <w:rsid w:val="004C4186"/>
    <w:rsid w:val="004D3C12"/>
    <w:rsid w:val="004F4EB9"/>
    <w:rsid w:val="004F586B"/>
    <w:rsid w:val="00506E65"/>
    <w:rsid w:val="0051025B"/>
    <w:rsid w:val="005153E0"/>
    <w:rsid w:val="0051665A"/>
    <w:rsid w:val="005407E1"/>
    <w:rsid w:val="00546D00"/>
    <w:rsid w:val="00547307"/>
    <w:rsid w:val="00553751"/>
    <w:rsid w:val="005566FF"/>
    <w:rsid w:val="00563C48"/>
    <w:rsid w:val="005652B1"/>
    <w:rsid w:val="00571837"/>
    <w:rsid w:val="005755F0"/>
    <w:rsid w:val="00583BBF"/>
    <w:rsid w:val="005918A7"/>
    <w:rsid w:val="005A0D3A"/>
    <w:rsid w:val="005A3B5C"/>
    <w:rsid w:val="005A417E"/>
    <w:rsid w:val="005A5CE8"/>
    <w:rsid w:val="005C6130"/>
    <w:rsid w:val="005D58E6"/>
    <w:rsid w:val="005E01ED"/>
    <w:rsid w:val="005E573B"/>
    <w:rsid w:val="005F6888"/>
    <w:rsid w:val="00601A44"/>
    <w:rsid w:val="00623376"/>
    <w:rsid w:val="0062432F"/>
    <w:rsid w:val="006257E4"/>
    <w:rsid w:val="006347E2"/>
    <w:rsid w:val="0063534D"/>
    <w:rsid w:val="00641E45"/>
    <w:rsid w:val="006427CC"/>
    <w:rsid w:val="00651B15"/>
    <w:rsid w:val="006662BF"/>
    <w:rsid w:val="00671A8D"/>
    <w:rsid w:val="00681F21"/>
    <w:rsid w:val="00682AA3"/>
    <w:rsid w:val="00696313"/>
    <w:rsid w:val="00697771"/>
    <w:rsid w:val="006A139B"/>
    <w:rsid w:val="006B3353"/>
    <w:rsid w:val="006C1D81"/>
    <w:rsid w:val="006C2B3D"/>
    <w:rsid w:val="006D7A02"/>
    <w:rsid w:val="006E2D95"/>
    <w:rsid w:val="006E33A1"/>
    <w:rsid w:val="006F36E9"/>
    <w:rsid w:val="006F74EE"/>
    <w:rsid w:val="006F7DD9"/>
    <w:rsid w:val="0070302C"/>
    <w:rsid w:val="00705DD5"/>
    <w:rsid w:val="00712D5D"/>
    <w:rsid w:val="00715432"/>
    <w:rsid w:val="00721A87"/>
    <w:rsid w:val="00721BB7"/>
    <w:rsid w:val="0073472B"/>
    <w:rsid w:val="007508CB"/>
    <w:rsid w:val="007631FA"/>
    <w:rsid w:val="0077605E"/>
    <w:rsid w:val="00794D1D"/>
    <w:rsid w:val="007A2BCF"/>
    <w:rsid w:val="007A47B6"/>
    <w:rsid w:val="007C137A"/>
    <w:rsid w:val="007C3CF6"/>
    <w:rsid w:val="007D6B13"/>
    <w:rsid w:val="007E10EC"/>
    <w:rsid w:val="007E1DE5"/>
    <w:rsid w:val="007F675A"/>
    <w:rsid w:val="0080281C"/>
    <w:rsid w:val="008269B6"/>
    <w:rsid w:val="00832031"/>
    <w:rsid w:val="00841944"/>
    <w:rsid w:val="00843310"/>
    <w:rsid w:val="008469B6"/>
    <w:rsid w:val="008470CE"/>
    <w:rsid w:val="00847932"/>
    <w:rsid w:val="008525EF"/>
    <w:rsid w:val="0087273D"/>
    <w:rsid w:val="00880385"/>
    <w:rsid w:val="00884B94"/>
    <w:rsid w:val="0089023A"/>
    <w:rsid w:val="008906FA"/>
    <w:rsid w:val="00890B72"/>
    <w:rsid w:val="00890FF7"/>
    <w:rsid w:val="00895143"/>
    <w:rsid w:val="008B1731"/>
    <w:rsid w:val="008C0BA9"/>
    <w:rsid w:val="008C41EB"/>
    <w:rsid w:val="008D07E7"/>
    <w:rsid w:val="008F1499"/>
    <w:rsid w:val="008F4D44"/>
    <w:rsid w:val="008F6B6E"/>
    <w:rsid w:val="008F7849"/>
    <w:rsid w:val="00905178"/>
    <w:rsid w:val="00917B36"/>
    <w:rsid w:val="00920588"/>
    <w:rsid w:val="009233E1"/>
    <w:rsid w:val="0093225E"/>
    <w:rsid w:val="00960F6F"/>
    <w:rsid w:val="00980308"/>
    <w:rsid w:val="009868DB"/>
    <w:rsid w:val="009954F7"/>
    <w:rsid w:val="0099637C"/>
    <w:rsid w:val="00997021"/>
    <w:rsid w:val="009A56A5"/>
    <w:rsid w:val="009B080F"/>
    <w:rsid w:val="009C426F"/>
    <w:rsid w:val="009C5192"/>
    <w:rsid w:val="009E0D92"/>
    <w:rsid w:val="009F35C1"/>
    <w:rsid w:val="00A026C5"/>
    <w:rsid w:val="00A10C8C"/>
    <w:rsid w:val="00A244CB"/>
    <w:rsid w:val="00A245F3"/>
    <w:rsid w:val="00A25BA9"/>
    <w:rsid w:val="00A34712"/>
    <w:rsid w:val="00A36696"/>
    <w:rsid w:val="00A4433E"/>
    <w:rsid w:val="00A44AA3"/>
    <w:rsid w:val="00A44CFD"/>
    <w:rsid w:val="00A7162E"/>
    <w:rsid w:val="00A820C3"/>
    <w:rsid w:val="00AA6D6F"/>
    <w:rsid w:val="00AB107F"/>
    <w:rsid w:val="00AD2354"/>
    <w:rsid w:val="00AD5041"/>
    <w:rsid w:val="00AE46C4"/>
    <w:rsid w:val="00AF7985"/>
    <w:rsid w:val="00B066EF"/>
    <w:rsid w:val="00B11010"/>
    <w:rsid w:val="00B20CFF"/>
    <w:rsid w:val="00B20D0E"/>
    <w:rsid w:val="00B2786E"/>
    <w:rsid w:val="00B4614A"/>
    <w:rsid w:val="00B51364"/>
    <w:rsid w:val="00B5614F"/>
    <w:rsid w:val="00B57714"/>
    <w:rsid w:val="00B728F3"/>
    <w:rsid w:val="00B86B3E"/>
    <w:rsid w:val="00B91539"/>
    <w:rsid w:val="00B950F2"/>
    <w:rsid w:val="00BA1974"/>
    <w:rsid w:val="00BB6223"/>
    <w:rsid w:val="00BB6349"/>
    <w:rsid w:val="00BC4540"/>
    <w:rsid w:val="00BC537E"/>
    <w:rsid w:val="00BD2E87"/>
    <w:rsid w:val="00BD44B3"/>
    <w:rsid w:val="00BF5BA6"/>
    <w:rsid w:val="00BF7012"/>
    <w:rsid w:val="00C1111A"/>
    <w:rsid w:val="00C1181D"/>
    <w:rsid w:val="00C1383A"/>
    <w:rsid w:val="00C3228A"/>
    <w:rsid w:val="00C34AAD"/>
    <w:rsid w:val="00C57223"/>
    <w:rsid w:val="00C66D21"/>
    <w:rsid w:val="00C860F6"/>
    <w:rsid w:val="00C93DD7"/>
    <w:rsid w:val="00C9674C"/>
    <w:rsid w:val="00CA4D60"/>
    <w:rsid w:val="00CC0E07"/>
    <w:rsid w:val="00CC6CD5"/>
    <w:rsid w:val="00CD386A"/>
    <w:rsid w:val="00CF0FB1"/>
    <w:rsid w:val="00CF1A9A"/>
    <w:rsid w:val="00CF3F4E"/>
    <w:rsid w:val="00CF6D7A"/>
    <w:rsid w:val="00D036CB"/>
    <w:rsid w:val="00D17FFA"/>
    <w:rsid w:val="00D230F2"/>
    <w:rsid w:val="00D26E57"/>
    <w:rsid w:val="00D312ED"/>
    <w:rsid w:val="00D43275"/>
    <w:rsid w:val="00D500A0"/>
    <w:rsid w:val="00D54D5B"/>
    <w:rsid w:val="00D560DF"/>
    <w:rsid w:val="00D563A4"/>
    <w:rsid w:val="00D56A11"/>
    <w:rsid w:val="00D8553F"/>
    <w:rsid w:val="00D91BE4"/>
    <w:rsid w:val="00D92475"/>
    <w:rsid w:val="00D9381A"/>
    <w:rsid w:val="00DB1B50"/>
    <w:rsid w:val="00DB464C"/>
    <w:rsid w:val="00DC01CC"/>
    <w:rsid w:val="00DD4C2A"/>
    <w:rsid w:val="00DD576E"/>
    <w:rsid w:val="00DE7549"/>
    <w:rsid w:val="00DF05E6"/>
    <w:rsid w:val="00DF21F0"/>
    <w:rsid w:val="00E039BE"/>
    <w:rsid w:val="00E057FC"/>
    <w:rsid w:val="00E07580"/>
    <w:rsid w:val="00E16903"/>
    <w:rsid w:val="00E1791E"/>
    <w:rsid w:val="00E21811"/>
    <w:rsid w:val="00E25F59"/>
    <w:rsid w:val="00E4379A"/>
    <w:rsid w:val="00E579F1"/>
    <w:rsid w:val="00E6086C"/>
    <w:rsid w:val="00E70D8E"/>
    <w:rsid w:val="00E73E3A"/>
    <w:rsid w:val="00E7745F"/>
    <w:rsid w:val="00E84D0B"/>
    <w:rsid w:val="00E93D55"/>
    <w:rsid w:val="00E94279"/>
    <w:rsid w:val="00EB77F2"/>
    <w:rsid w:val="00ED1E17"/>
    <w:rsid w:val="00ED266F"/>
    <w:rsid w:val="00ED40D2"/>
    <w:rsid w:val="00EE50A3"/>
    <w:rsid w:val="00EE5CC4"/>
    <w:rsid w:val="00EE7964"/>
    <w:rsid w:val="00F26155"/>
    <w:rsid w:val="00F35DBE"/>
    <w:rsid w:val="00F3643A"/>
    <w:rsid w:val="00F4234A"/>
    <w:rsid w:val="00F618C2"/>
    <w:rsid w:val="00F67018"/>
    <w:rsid w:val="00F70783"/>
    <w:rsid w:val="00F76378"/>
    <w:rsid w:val="00F970DB"/>
    <w:rsid w:val="00FA0066"/>
    <w:rsid w:val="00FA54CF"/>
    <w:rsid w:val="00FD1ACC"/>
    <w:rsid w:val="00FF03D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B6AF456"/>
  <w15:chartTrackingRefBased/>
  <w15:docId w15:val="{52E14781-027F-4167-93C5-E013BC3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A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1A8D"/>
    <w:rPr>
      <w:rFonts w:ascii="Tahoma" w:hAnsi="Tahoma" w:cs="Tahoma"/>
      <w:sz w:val="16"/>
      <w:szCs w:val="16"/>
    </w:rPr>
  </w:style>
  <w:style w:type="paragraph" w:styleId="Header">
    <w:name w:val="header"/>
    <w:basedOn w:val="Normal"/>
    <w:link w:val="HeaderChar"/>
    <w:uiPriority w:val="99"/>
    <w:unhideWhenUsed/>
    <w:rsid w:val="006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8D"/>
  </w:style>
  <w:style w:type="paragraph" w:styleId="Footer">
    <w:name w:val="footer"/>
    <w:basedOn w:val="Normal"/>
    <w:link w:val="FooterChar"/>
    <w:uiPriority w:val="99"/>
    <w:semiHidden/>
    <w:unhideWhenUsed/>
    <w:rsid w:val="006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A8D"/>
  </w:style>
  <w:style w:type="paragraph" w:styleId="ListParagraph">
    <w:name w:val="List Paragraph"/>
    <w:basedOn w:val="Normal"/>
    <w:uiPriority w:val="34"/>
    <w:qFormat/>
    <w:rsid w:val="00671A8D"/>
    <w:pPr>
      <w:ind w:left="720"/>
      <w:contextualSpacing/>
    </w:pPr>
  </w:style>
  <w:style w:type="character" w:styleId="Hyperlink">
    <w:name w:val="Hyperlink"/>
    <w:uiPriority w:val="99"/>
    <w:unhideWhenUsed/>
    <w:rsid w:val="00B5614F"/>
    <w:rPr>
      <w:color w:val="0000FF"/>
      <w:u w:val="single"/>
    </w:rPr>
  </w:style>
  <w:style w:type="table" w:customStyle="1" w:styleId="LightList1">
    <w:name w:val="Light List1"/>
    <w:basedOn w:val="TableNormal"/>
    <w:uiPriority w:val="61"/>
    <w:rsid w:val="00B5614F"/>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B56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23376"/>
    <w:rPr>
      <w:sz w:val="22"/>
      <w:szCs w:val="22"/>
    </w:rPr>
  </w:style>
  <w:style w:type="paragraph" w:customStyle="1" w:styleId="PARAGRAPH">
    <w:name w:val="PARAGRAPH"/>
    <w:rsid w:val="00721A87"/>
    <w:pPr>
      <w:spacing w:after="240" w:line="240" w:lineRule="exact"/>
      <w:jc w:val="both"/>
    </w:pPr>
    <w:rPr>
      <w:rFonts w:ascii="Bookman" w:eastAsia="Times New Roman" w:hAnsi="Bookman"/>
      <w:sz w:val="24"/>
    </w:rPr>
  </w:style>
  <w:style w:type="paragraph" w:customStyle="1" w:styleId="1HEADING">
    <w:name w:val="1. HEADING"/>
    <w:link w:val="1HEADINGChar"/>
    <w:rsid w:val="00721A87"/>
    <w:pPr>
      <w:tabs>
        <w:tab w:val="left" w:pos="720"/>
      </w:tabs>
      <w:spacing w:after="240" w:line="240" w:lineRule="exact"/>
      <w:ind w:left="720" w:hanging="720"/>
      <w:jc w:val="both"/>
    </w:pPr>
    <w:rPr>
      <w:rFonts w:ascii="Bookman" w:eastAsia="Times New Roman" w:hAnsi="Bookman"/>
      <w:sz w:val="24"/>
    </w:rPr>
  </w:style>
  <w:style w:type="paragraph" w:customStyle="1" w:styleId="1A">
    <w:name w:val="1. A."/>
    <w:rsid w:val="00721A87"/>
    <w:pPr>
      <w:tabs>
        <w:tab w:val="left" w:pos="1440"/>
      </w:tabs>
      <w:spacing w:after="240" w:line="240" w:lineRule="exact"/>
      <w:ind w:left="1440" w:hanging="720"/>
      <w:jc w:val="both"/>
    </w:pPr>
    <w:rPr>
      <w:rFonts w:ascii="Bookman" w:eastAsia="Times New Roman" w:hAnsi="Bookman"/>
      <w:sz w:val="24"/>
    </w:rPr>
  </w:style>
  <w:style w:type="paragraph" w:styleId="PlainText">
    <w:name w:val="Plain Text"/>
    <w:basedOn w:val="Normal"/>
    <w:link w:val="PlainTextChar"/>
    <w:rsid w:val="00721A87"/>
    <w:pPr>
      <w:spacing w:after="0" w:line="240" w:lineRule="auto"/>
    </w:pPr>
    <w:rPr>
      <w:rFonts w:ascii="Courier New" w:eastAsia="Times New Roman" w:hAnsi="Courier New"/>
      <w:sz w:val="20"/>
      <w:szCs w:val="20"/>
    </w:rPr>
  </w:style>
  <w:style w:type="character" w:customStyle="1" w:styleId="PlainTextChar">
    <w:name w:val="Plain Text Char"/>
    <w:link w:val="PlainText"/>
    <w:rsid w:val="00721A87"/>
    <w:rPr>
      <w:rFonts w:ascii="Courier New" w:eastAsia="Times New Roman" w:hAnsi="Courier New"/>
    </w:rPr>
  </w:style>
  <w:style w:type="paragraph" w:styleId="BodyTextIndent">
    <w:name w:val="Body Text Indent"/>
    <w:basedOn w:val="Normal"/>
    <w:link w:val="BodyTextIndentChar"/>
    <w:rsid w:val="00721A87"/>
    <w:pPr>
      <w:tabs>
        <w:tab w:val="left" w:pos="1890"/>
      </w:tabs>
      <w:spacing w:after="0" w:line="240" w:lineRule="auto"/>
      <w:ind w:left="720" w:hanging="720"/>
      <w:jc w:val="both"/>
    </w:pPr>
    <w:rPr>
      <w:rFonts w:ascii="Times New Roman" w:eastAsia="Times New Roman" w:hAnsi="Times New Roman"/>
      <w:szCs w:val="20"/>
    </w:rPr>
  </w:style>
  <w:style w:type="character" w:customStyle="1" w:styleId="BodyTextIndentChar">
    <w:name w:val="Body Text Indent Char"/>
    <w:link w:val="BodyTextIndent"/>
    <w:rsid w:val="00721A87"/>
    <w:rPr>
      <w:rFonts w:ascii="Times New Roman" w:eastAsia="Times New Roman" w:hAnsi="Times New Roman"/>
      <w:sz w:val="22"/>
    </w:rPr>
  </w:style>
  <w:style w:type="paragraph" w:styleId="BodyText">
    <w:name w:val="Body Text"/>
    <w:basedOn w:val="Normal"/>
    <w:link w:val="BodyTextChar"/>
    <w:rsid w:val="00721A87"/>
    <w:pPr>
      <w:spacing w:after="0" w:line="240" w:lineRule="auto"/>
    </w:pPr>
    <w:rPr>
      <w:rFonts w:ascii="Times New Roman" w:eastAsia="Times New Roman" w:hAnsi="Times New Roman"/>
      <w:szCs w:val="20"/>
    </w:rPr>
  </w:style>
  <w:style w:type="character" w:customStyle="1" w:styleId="BodyTextChar">
    <w:name w:val="Body Text Char"/>
    <w:link w:val="BodyText"/>
    <w:rsid w:val="00721A87"/>
    <w:rPr>
      <w:rFonts w:ascii="Times New Roman" w:eastAsia="Times New Roman" w:hAnsi="Times New Roman"/>
      <w:sz w:val="22"/>
    </w:rPr>
  </w:style>
  <w:style w:type="paragraph" w:styleId="BodyText2">
    <w:name w:val="Body Text 2"/>
    <w:basedOn w:val="Normal"/>
    <w:link w:val="BodyText2Char"/>
    <w:rsid w:val="00721A87"/>
    <w:pPr>
      <w:spacing w:after="0" w:line="240" w:lineRule="auto"/>
      <w:jc w:val="both"/>
    </w:pPr>
    <w:rPr>
      <w:rFonts w:ascii="Times New Roman" w:eastAsia="Times New Roman" w:hAnsi="Times New Roman"/>
      <w:b/>
      <w:bCs/>
      <w:sz w:val="24"/>
      <w:szCs w:val="24"/>
    </w:rPr>
  </w:style>
  <w:style w:type="character" w:customStyle="1" w:styleId="BodyText2Char">
    <w:name w:val="Body Text 2 Char"/>
    <w:link w:val="BodyText2"/>
    <w:rsid w:val="00721A87"/>
    <w:rPr>
      <w:rFonts w:ascii="Times New Roman" w:eastAsia="Times New Roman" w:hAnsi="Times New Roman"/>
      <w:b/>
      <w:bCs/>
      <w:sz w:val="24"/>
      <w:szCs w:val="24"/>
    </w:rPr>
  </w:style>
  <w:style w:type="paragraph" w:styleId="BodyText3">
    <w:name w:val="Body Text 3"/>
    <w:basedOn w:val="Normal"/>
    <w:link w:val="BodyText3Char"/>
    <w:rsid w:val="00721A87"/>
    <w:pPr>
      <w:spacing w:after="0" w:line="240" w:lineRule="auto"/>
      <w:jc w:val="both"/>
    </w:pPr>
    <w:rPr>
      <w:rFonts w:ascii="Times New Roman" w:eastAsia="Times New Roman" w:hAnsi="Times New Roman"/>
      <w:b/>
      <w:bCs/>
      <w:color w:val="FF00FF"/>
      <w:szCs w:val="20"/>
    </w:rPr>
  </w:style>
  <w:style w:type="character" w:customStyle="1" w:styleId="BodyText3Char">
    <w:name w:val="Body Text 3 Char"/>
    <w:link w:val="BodyText3"/>
    <w:rsid w:val="00721A87"/>
    <w:rPr>
      <w:rFonts w:ascii="Times New Roman" w:eastAsia="Times New Roman" w:hAnsi="Times New Roman"/>
      <w:b/>
      <w:bCs/>
      <w:color w:val="FF00FF"/>
      <w:sz w:val="22"/>
    </w:rPr>
  </w:style>
  <w:style w:type="paragraph" w:styleId="BlockText">
    <w:name w:val="Block Text"/>
    <w:basedOn w:val="Normal"/>
    <w:rsid w:val="00721A87"/>
    <w:pPr>
      <w:spacing w:after="0" w:line="240" w:lineRule="auto"/>
      <w:ind w:left="720" w:right="-36" w:hanging="720"/>
      <w:jc w:val="both"/>
    </w:pPr>
    <w:rPr>
      <w:rFonts w:ascii="Times New Roman" w:eastAsia="Times New Roman" w:hAnsi="Times New Roman"/>
      <w:b/>
      <w:i/>
      <w:sz w:val="18"/>
      <w:szCs w:val="20"/>
      <w:u w:val="single"/>
    </w:rPr>
  </w:style>
  <w:style w:type="paragraph" w:customStyle="1" w:styleId="Normal11pt">
    <w:name w:val="Normal + 11 pt"/>
    <w:aliases w:val="Italic"/>
    <w:basedOn w:val="1HEADING"/>
    <w:link w:val="Normal11ptChar"/>
    <w:rsid w:val="00721A87"/>
    <w:pPr>
      <w:numPr>
        <w:numId w:val="13"/>
      </w:numPr>
    </w:pPr>
    <w:rPr>
      <w:i/>
      <w:sz w:val="22"/>
    </w:rPr>
  </w:style>
  <w:style w:type="character" w:customStyle="1" w:styleId="1HEADINGChar">
    <w:name w:val="1. HEADING Char"/>
    <w:link w:val="1HEADING"/>
    <w:rsid w:val="00721A87"/>
    <w:rPr>
      <w:rFonts w:ascii="Bookman" w:eastAsia="Times New Roman" w:hAnsi="Bookman"/>
      <w:sz w:val="24"/>
      <w:lang w:val="en-US" w:eastAsia="en-US" w:bidi="ar-SA"/>
    </w:rPr>
  </w:style>
  <w:style w:type="character" w:customStyle="1" w:styleId="Normal11ptChar">
    <w:name w:val="Normal + 11 pt Char"/>
    <w:aliases w:val="Italic Char"/>
    <w:link w:val="Normal11pt"/>
    <w:rsid w:val="00721A87"/>
    <w:rPr>
      <w:rFonts w:ascii="Bookman" w:eastAsia="Times New Roman" w:hAnsi="Bookman"/>
      <w:i/>
      <w:sz w:val="22"/>
      <w:lang w:val="en-US" w:eastAsia="en-US" w:bidi="ar-SA"/>
    </w:rPr>
  </w:style>
  <w:style w:type="character" w:styleId="FollowedHyperlink">
    <w:name w:val="FollowedHyperlink"/>
    <w:uiPriority w:val="99"/>
    <w:semiHidden/>
    <w:unhideWhenUsed/>
    <w:rsid w:val="007C137A"/>
    <w:rPr>
      <w:color w:val="800080"/>
      <w:u w:val="single"/>
    </w:rPr>
  </w:style>
  <w:style w:type="character" w:styleId="CommentReference">
    <w:name w:val="annotation reference"/>
    <w:uiPriority w:val="99"/>
    <w:semiHidden/>
    <w:unhideWhenUsed/>
    <w:rsid w:val="0093225E"/>
    <w:rPr>
      <w:sz w:val="16"/>
      <w:szCs w:val="16"/>
    </w:rPr>
  </w:style>
  <w:style w:type="paragraph" w:styleId="CommentText">
    <w:name w:val="annotation text"/>
    <w:basedOn w:val="Normal"/>
    <w:link w:val="CommentTextChar"/>
    <w:uiPriority w:val="99"/>
    <w:semiHidden/>
    <w:unhideWhenUsed/>
    <w:rsid w:val="0093225E"/>
    <w:rPr>
      <w:sz w:val="20"/>
      <w:szCs w:val="20"/>
    </w:rPr>
  </w:style>
  <w:style w:type="character" w:customStyle="1" w:styleId="CommentTextChar">
    <w:name w:val="Comment Text Char"/>
    <w:basedOn w:val="DefaultParagraphFont"/>
    <w:link w:val="CommentText"/>
    <w:uiPriority w:val="99"/>
    <w:semiHidden/>
    <w:rsid w:val="0093225E"/>
  </w:style>
  <w:style w:type="paragraph" w:styleId="CommentSubject">
    <w:name w:val="annotation subject"/>
    <w:basedOn w:val="CommentText"/>
    <w:next w:val="CommentText"/>
    <w:link w:val="CommentSubjectChar"/>
    <w:uiPriority w:val="99"/>
    <w:semiHidden/>
    <w:unhideWhenUsed/>
    <w:rsid w:val="0093225E"/>
    <w:rPr>
      <w:b/>
      <w:bCs/>
    </w:rPr>
  </w:style>
  <w:style w:type="character" w:customStyle="1" w:styleId="CommentSubjectChar">
    <w:name w:val="Comment Subject Char"/>
    <w:link w:val="CommentSubject"/>
    <w:uiPriority w:val="99"/>
    <w:semiHidden/>
    <w:rsid w:val="0093225E"/>
    <w:rPr>
      <w:b/>
      <w:bCs/>
    </w:rPr>
  </w:style>
  <w:style w:type="character" w:styleId="Mention">
    <w:name w:val="Mention"/>
    <w:basedOn w:val="DefaultParagraphFont"/>
    <w:uiPriority w:val="99"/>
    <w:semiHidden/>
    <w:unhideWhenUsed/>
    <w:rsid w:val="00E039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8017">
      <w:bodyDiv w:val="1"/>
      <w:marLeft w:val="0"/>
      <w:marRight w:val="0"/>
      <w:marTop w:val="0"/>
      <w:marBottom w:val="0"/>
      <w:divBdr>
        <w:top w:val="none" w:sz="0" w:space="0" w:color="auto"/>
        <w:left w:val="none" w:sz="0" w:space="0" w:color="auto"/>
        <w:bottom w:val="none" w:sz="0" w:space="0" w:color="auto"/>
        <w:right w:val="none" w:sz="0" w:space="0" w:color="auto"/>
      </w:divBdr>
    </w:div>
    <w:div w:id="352608924">
      <w:bodyDiv w:val="1"/>
      <w:marLeft w:val="0"/>
      <w:marRight w:val="0"/>
      <w:marTop w:val="0"/>
      <w:marBottom w:val="0"/>
      <w:divBdr>
        <w:top w:val="none" w:sz="0" w:space="0" w:color="auto"/>
        <w:left w:val="none" w:sz="0" w:space="0" w:color="auto"/>
        <w:bottom w:val="none" w:sz="0" w:space="0" w:color="auto"/>
        <w:right w:val="none" w:sz="0" w:space="0" w:color="auto"/>
      </w:divBdr>
    </w:div>
    <w:div w:id="358092526">
      <w:bodyDiv w:val="1"/>
      <w:marLeft w:val="0"/>
      <w:marRight w:val="0"/>
      <w:marTop w:val="0"/>
      <w:marBottom w:val="0"/>
      <w:divBdr>
        <w:top w:val="none" w:sz="0" w:space="0" w:color="auto"/>
        <w:left w:val="none" w:sz="0" w:space="0" w:color="auto"/>
        <w:bottom w:val="none" w:sz="0" w:space="0" w:color="auto"/>
        <w:right w:val="none" w:sz="0" w:space="0" w:color="auto"/>
      </w:divBdr>
    </w:div>
    <w:div w:id="539048032">
      <w:bodyDiv w:val="1"/>
      <w:marLeft w:val="0"/>
      <w:marRight w:val="0"/>
      <w:marTop w:val="0"/>
      <w:marBottom w:val="0"/>
      <w:divBdr>
        <w:top w:val="none" w:sz="0" w:space="0" w:color="auto"/>
        <w:left w:val="none" w:sz="0" w:space="0" w:color="auto"/>
        <w:bottom w:val="none" w:sz="0" w:space="0" w:color="auto"/>
        <w:right w:val="none" w:sz="0" w:space="0" w:color="auto"/>
      </w:divBdr>
    </w:div>
    <w:div w:id="543447389">
      <w:bodyDiv w:val="1"/>
      <w:marLeft w:val="0"/>
      <w:marRight w:val="0"/>
      <w:marTop w:val="0"/>
      <w:marBottom w:val="0"/>
      <w:divBdr>
        <w:top w:val="none" w:sz="0" w:space="0" w:color="auto"/>
        <w:left w:val="none" w:sz="0" w:space="0" w:color="auto"/>
        <w:bottom w:val="none" w:sz="0" w:space="0" w:color="auto"/>
        <w:right w:val="none" w:sz="0" w:space="0" w:color="auto"/>
      </w:divBdr>
    </w:div>
    <w:div w:id="585188482">
      <w:bodyDiv w:val="1"/>
      <w:marLeft w:val="0"/>
      <w:marRight w:val="0"/>
      <w:marTop w:val="0"/>
      <w:marBottom w:val="0"/>
      <w:divBdr>
        <w:top w:val="none" w:sz="0" w:space="0" w:color="auto"/>
        <w:left w:val="none" w:sz="0" w:space="0" w:color="auto"/>
        <w:bottom w:val="none" w:sz="0" w:space="0" w:color="auto"/>
        <w:right w:val="none" w:sz="0" w:space="0" w:color="auto"/>
      </w:divBdr>
    </w:div>
    <w:div w:id="591863023">
      <w:bodyDiv w:val="1"/>
      <w:marLeft w:val="0"/>
      <w:marRight w:val="0"/>
      <w:marTop w:val="0"/>
      <w:marBottom w:val="0"/>
      <w:divBdr>
        <w:top w:val="none" w:sz="0" w:space="0" w:color="auto"/>
        <w:left w:val="none" w:sz="0" w:space="0" w:color="auto"/>
        <w:bottom w:val="none" w:sz="0" w:space="0" w:color="auto"/>
        <w:right w:val="none" w:sz="0" w:space="0" w:color="auto"/>
      </w:divBdr>
    </w:div>
    <w:div w:id="657541557">
      <w:bodyDiv w:val="1"/>
      <w:marLeft w:val="0"/>
      <w:marRight w:val="0"/>
      <w:marTop w:val="0"/>
      <w:marBottom w:val="0"/>
      <w:divBdr>
        <w:top w:val="none" w:sz="0" w:space="0" w:color="auto"/>
        <w:left w:val="none" w:sz="0" w:space="0" w:color="auto"/>
        <w:bottom w:val="none" w:sz="0" w:space="0" w:color="auto"/>
        <w:right w:val="none" w:sz="0" w:space="0" w:color="auto"/>
      </w:divBdr>
    </w:div>
    <w:div w:id="711148037">
      <w:bodyDiv w:val="1"/>
      <w:marLeft w:val="0"/>
      <w:marRight w:val="0"/>
      <w:marTop w:val="0"/>
      <w:marBottom w:val="0"/>
      <w:divBdr>
        <w:top w:val="none" w:sz="0" w:space="0" w:color="auto"/>
        <w:left w:val="none" w:sz="0" w:space="0" w:color="auto"/>
        <w:bottom w:val="none" w:sz="0" w:space="0" w:color="auto"/>
        <w:right w:val="none" w:sz="0" w:space="0" w:color="auto"/>
      </w:divBdr>
    </w:div>
    <w:div w:id="812677440">
      <w:bodyDiv w:val="1"/>
      <w:marLeft w:val="0"/>
      <w:marRight w:val="0"/>
      <w:marTop w:val="0"/>
      <w:marBottom w:val="0"/>
      <w:divBdr>
        <w:top w:val="none" w:sz="0" w:space="0" w:color="auto"/>
        <w:left w:val="none" w:sz="0" w:space="0" w:color="auto"/>
        <w:bottom w:val="none" w:sz="0" w:space="0" w:color="auto"/>
        <w:right w:val="none" w:sz="0" w:space="0" w:color="auto"/>
      </w:divBdr>
    </w:div>
    <w:div w:id="818570646">
      <w:bodyDiv w:val="1"/>
      <w:marLeft w:val="0"/>
      <w:marRight w:val="0"/>
      <w:marTop w:val="0"/>
      <w:marBottom w:val="0"/>
      <w:divBdr>
        <w:top w:val="none" w:sz="0" w:space="0" w:color="auto"/>
        <w:left w:val="none" w:sz="0" w:space="0" w:color="auto"/>
        <w:bottom w:val="none" w:sz="0" w:space="0" w:color="auto"/>
        <w:right w:val="none" w:sz="0" w:space="0" w:color="auto"/>
      </w:divBdr>
    </w:div>
    <w:div w:id="861433388">
      <w:bodyDiv w:val="1"/>
      <w:marLeft w:val="0"/>
      <w:marRight w:val="0"/>
      <w:marTop w:val="0"/>
      <w:marBottom w:val="0"/>
      <w:divBdr>
        <w:top w:val="none" w:sz="0" w:space="0" w:color="auto"/>
        <w:left w:val="none" w:sz="0" w:space="0" w:color="auto"/>
        <w:bottom w:val="none" w:sz="0" w:space="0" w:color="auto"/>
        <w:right w:val="none" w:sz="0" w:space="0" w:color="auto"/>
      </w:divBdr>
    </w:div>
    <w:div w:id="971133504">
      <w:bodyDiv w:val="1"/>
      <w:marLeft w:val="0"/>
      <w:marRight w:val="0"/>
      <w:marTop w:val="0"/>
      <w:marBottom w:val="0"/>
      <w:divBdr>
        <w:top w:val="none" w:sz="0" w:space="0" w:color="auto"/>
        <w:left w:val="none" w:sz="0" w:space="0" w:color="auto"/>
        <w:bottom w:val="none" w:sz="0" w:space="0" w:color="auto"/>
        <w:right w:val="none" w:sz="0" w:space="0" w:color="auto"/>
      </w:divBdr>
    </w:div>
    <w:div w:id="1032340889">
      <w:bodyDiv w:val="1"/>
      <w:marLeft w:val="0"/>
      <w:marRight w:val="0"/>
      <w:marTop w:val="0"/>
      <w:marBottom w:val="0"/>
      <w:divBdr>
        <w:top w:val="none" w:sz="0" w:space="0" w:color="auto"/>
        <w:left w:val="none" w:sz="0" w:space="0" w:color="auto"/>
        <w:bottom w:val="none" w:sz="0" w:space="0" w:color="auto"/>
        <w:right w:val="none" w:sz="0" w:space="0" w:color="auto"/>
      </w:divBdr>
    </w:div>
    <w:div w:id="1346051623">
      <w:bodyDiv w:val="1"/>
      <w:marLeft w:val="0"/>
      <w:marRight w:val="0"/>
      <w:marTop w:val="0"/>
      <w:marBottom w:val="0"/>
      <w:divBdr>
        <w:top w:val="none" w:sz="0" w:space="0" w:color="auto"/>
        <w:left w:val="none" w:sz="0" w:space="0" w:color="auto"/>
        <w:bottom w:val="none" w:sz="0" w:space="0" w:color="auto"/>
        <w:right w:val="none" w:sz="0" w:space="0" w:color="auto"/>
      </w:divBdr>
    </w:div>
    <w:div w:id="1425879584">
      <w:bodyDiv w:val="1"/>
      <w:marLeft w:val="0"/>
      <w:marRight w:val="0"/>
      <w:marTop w:val="0"/>
      <w:marBottom w:val="0"/>
      <w:divBdr>
        <w:top w:val="none" w:sz="0" w:space="0" w:color="auto"/>
        <w:left w:val="none" w:sz="0" w:space="0" w:color="auto"/>
        <w:bottom w:val="none" w:sz="0" w:space="0" w:color="auto"/>
        <w:right w:val="none" w:sz="0" w:space="0" w:color="auto"/>
      </w:divBdr>
    </w:div>
    <w:div w:id="1428503902">
      <w:bodyDiv w:val="1"/>
      <w:marLeft w:val="0"/>
      <w:marRight w:val="0"/>
      <w:marTop w:val="0"/>
      <w:marBottom w:val="0"/>
      <w:divBdr>
        <w:top w:val="none" w:sz="0" w:space="0" w:color="auto"/>
        <w:left w:val="none" w:sz="0" w:space="0" w:color="auto"/>
        <w:bottom w:val="none" w:sz="0" w:space="0" w:color="auto"/>
        <w:right w:val="none" w:sz="0" w:space="0" w:color="auto"/>
      </w:divBdr>
    </w:div>
    <w:div w:id="1452479439">
      <w:bodyDiv w:val="1"/>
      <w:marLeft w:val="0"/>
      <w:marRight w:val="0"/>
      <w:marTop w:val="0"/>
      <w:marBottom w:val="0"/>
      <w:divBdr>
        <w:top w:val="none" w:sz="0" w:space="0" w:color="auto"/>
        <w:left w:val="none" w:sz="0" w:space="0" w:color="auto"/>
        <w:bottom w:val="none" w:sz="0" w:space="0" w:color="auto"/>
        <w:right w:val="none" w:sz="0" w:space="0" w:color="auto"/>
      </w:divBdr>
    </w:div>
    <w:div w:id="1487937270">
      <w:bodyDiv w:val="1"/>
      <w:marLeft w:val="0"/>
      <w:marRight w:val="0"/>
      <w:marTop w:val="0"/>
      <w:marBottom w:val="0"/>
      <w:divBdr>
        <w:top w:val="none" w:sz="0" w:space="0" w:color="auto"/>
        <w:left w:val="none" w:sz="0" w:space="0" w:color="auto"/>
        <w:bottom w:val="none" w:sz="0" w:space="0" w:color="auto"/>
        <w:right w:val="none" w:sz="0" w:space="0" w:color="auto"/>
      </w:divBdr>
    </w:div>
    <w:div w:id="1646809743">
      <w:bodyDiv w:val="1"/>
      <w:marLeft w:val="0"/>
      <w:marRight w:val="0"/>
      <w:marTop w:val="0"/>
      <w:marBottom w:val="0"/>
      <w:divBdr>
        <w:top w:val="none" w:sz="0" w:space="0" w:color="auto"/>
        <w:left w:val="none" w:sz="0" w:space="0" w:color="auto"/>
        <w:bottom w:val="none" w:sz="0" w:space="0" w:color="auto"/>
        <w:right w:val="none" w:sz="0" w:space="0" w:color="auto"/>
      </w:divBdr>
    </w:div>
    <w:div w:id="1743328671">
      <w:bodyDiv w:val="1"/>
      <w:marLeft w:val="0"/>
      <w:marRight w:val="0"/>
      <w:marTop w:val="0"/>
      <w:marBottom w:val="0"/>
      <w:divBdr>
        <w:top w:val="none" w:sz="0" w:space="0" w:color="auto"/>
        <w:left w:val="none" w:sz="0" w:space="0" w:color="auto"/>
        <w:bottom w:val="none" w:sz="0" w:space="0" w:color="auto"/>
        <w:right w:val="none" w:sz="0" w:space="0" w:color="auto"/>
      </w:divBdr>
    </w:div>
    <w:div w:id="1761950540">
      <w:bodyDiv w:val="1"/>
      <w:marLeft w:val="0"/>
      <w:marRight w:val="0"/>
      <w:marTop w:val="0"/>
      <w:marBottom w:val="0"/>
      <w:divBdr>
        <w:top w:val="none" w:sz="0" w:space="0" w:color="auto"/>
        <w:left w:val="none" w:sz="0" w:space="0" w:color="auto"/>
        <w:bottom w:val="none" w:sz="0" w:space="0" w:color="auto"/>
        <w:right w:val="none" w:sz="0" w:space="0" w:color="auto"/>
      </w:divBdr>
    </w:div>
    <w:div w:id="1763338602">
      <w:bodyDiv w:val="1"/>
      <w:marLeft w:val="0"/>
      <w:marRight w:val="0"/>
      <w:marTop w:val="0"/>
      <w:marBottom w:val="0"/>
      <w:divBdr>
        <w:top w:val="none" w:sz="0" w:space="0" w:color="auto"/>
        <w:left w:val="none" w:sz="0" w:space="0" w:color="auto"/>
        <w:bottom w:val="none" w:sz="0" w:space="0" w:color="auto"/>
        <w:right w:val="none" w:sz="0" w:space="0" w:color="auto"/>
      </w:divBdr>
    </w:div>
    <w:div w:id="1870528771">
      <w:bodyDiv w:val="1"/>
      <w:marLeft w:val="0"/>
      <w:marRight w:val="0"/>
      <w:marTop w:val="0"/>
      <w:marBottom w:val="0"/>
      <w:divBdr>
        <w:top w:val="none" w:sz="0" w:space="0" w:color="auto"/>
        <w:left w:val="none" w:sz="0" w:space="0" w:color="auto"/>
        <w:bottom w:val="none" w:sz="0" w:space="0" w:color="auto"/>
        <w:right w:val="none" w:sz="0" w:space="0" w:color="auto"/>
      </w:divBdr>
    </w:div>
    <w:div w:id="1956863652">
      <w:bodyDiv w:val="1"/>
      <w:marLeft w:val="0"/>
      <w:marRight w:val="0"/>
      <w:marTop w:val="0"/>
      <w:marBottom w:val="0"/>
      <w:divBdr>
        <w:top w:val="none" w:sz="0" w:space="0" w:color="auto"/>
        <w:left w:val="none" w:sz="0" w:space="0" w:color="auto"/>
        <w:bottom w:val="none" w:sz="0" w:space="0" w:color="auto"/>
        <w:right w:val="none" w:sz="0" w:space="0" w:color="auto"/>
      </w:divBdr>
    </w:div>
    <w:div w:id="20822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georgia.gov/year-end-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o.georgia.gov/year-end-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georgia.gov/sites/sao.georgia.gov/files/related_files/site_page/2018-CAFR.PDF"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O_Reporting@sao.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SAO State of Georgia</Company>
  <LinksUpToDate>false</LinksUpToDate>
  <CharactersWithSpaces>9921</CharactersWithSpaces>
  <SharedDoc>false</SharedDoc>
  <HLinks>
    <vt:vector size="48" baseType="variant">
      <vt:variant>
        <vt:i4>2621472</vt:i4>
      </vt:variant>
      <vt:variant>
        <vt:i4>21</vt:i4>
      </vt:variant>
      <vt:variant>
        <vt:i4>0</vt:i4>
      </vt:variant>
      <vt:variant>
        <vt:i4>5</vt:i4>
      </vt:variant>
      <vt:variant>
        <vt:lpwstr>http://www.sao.georgia.gov/</vt:lpwstr>
      </vt:variant>
      <vt:variant>
        <vt:lpwstr/>
      </vt:variant>
      <vt:variant>
        <vt:i4>5111897</vt:i4>
      </vt:variant>
      <vt:variant>
        <vt:i4>18</vt:i4>
      </vt:variant>
      <vt:variant>
        <vt:i4>0</vt:i4>
      </vt:variant>
      <vt:variant>
        <vt:i4>5</vt:i4>
      </vt:variant>
      <vt:variant>
        <vt:lpwstr>http://sao.georgia.gov/year-end-reporting</vt:lpwstr>
      </vt:variant>
      <vt:variant>
        <vt:lpwstr/>
      </vt:variant>
      <vt:variant>
        <vt:i4>3539060</vt:i4>
      </vt:variant>
      <vt:variant>
        <vt:i4>15</vt:i4>
      </vt:variant>
      <vt:variant>
        <vt:i4>0</vt:i4>
      </vt:variant>
      <vt:variant>
        <vt:i4>5</vt:i4>
      </vt:variant>
      <vt:variant>
        <vt:lpwstr>http://sao.georgia.gov/year-end-training-videos</vt:lpwstr>
      </vt:variant>
      <vt:variant>
        <vt:lpwstr/>
      </vt:variant>
      <vt:variant>
        <vt:i4>6029389</vt:i4>
      </vt:variant>
      <vt:variant>
        <vt:i4>12</vt:i4>
      </vt:variant>
      <vt:variant>
        <vt:i4>0</vt:i4>
      </vt:variant>
      <vt:variant>
        <vt:i4>5</vt:i4>
      </vt:variant>
      <vt:variant>
        <vt:lpwstr>http://sao.georgia.gov/00/channel_createdate/0,2095,39779022_138756145,00.html</vt:lpwstr>
      </vt:variant>
      <vt:variant>
        <vt:lpwstr/>
      </vt:variant>
      <vt:variant>
        <vt:i4>4784146</vt:i4>
      </vt:variant>
      <vt:variant>
        <vt:i4>9</vt:i4>
      </vt:variant>
      <vt:variant>
        <vt:i4>0</vt:i4>
      </vt:variant>
      <vt:variant>
        <vt:i4>5</vt:i4>
      </vt:variant>
      <vt:variant>
        <vt:lpwstr>https://sao.georgia.gov/sites/sao.georgia.gov/files/related_files/site_page/FY15 CAFR Manuscript FINAL.pdf</vt:lpwstr>
      </vt:variant>
      <vt:variant>
        <vt:lpwstr/>
      </vt:variant>
      <vt:variant>
        <vt:i4>3801197</vt:i4>
      </vt:variant>
      <vt:variant>
        <vt:i4>6</vt:i4>
      </vt:variant>
      <vt:variant>
        <vt:i4>0</vt:i4>
      </vt:variant>
      <vt:variant>
        <vt:i4>5</vt:i4>
      </vt:variant>
      <vt:variant>
        <vt:lpwstr>mailto:SAO_Reporting@sao.ga.gov</vt:lpwstr>
      </vt:variant>
      <vt:variant>
        <vt:lpwstr/>
      </vt:variant>
      <vt:variant>
        <vt:i4>5111897</vt:i4>
      </vt:variant>
      <vt:variant>
        <vt:i4>3</vt:i4>
      </vt:variant>
      <vt:variant>
        <vt:i4>0</vt:i4>
      </vt:variant>
      <vt:variant>
        <vt:i4>5</vt:i4>
      </vt:variant>
      <vt:variant>
        <vt:lpwstr>http://sao.georgia.gov/year-end-reporting</vt:lpwstr>
      </vt:variant>
      <vt:variant>
        <vt:lpwstr/>
      </vt:variant>
      <vt:variant>
        <vt:i4>5111897</vt:i4>
      </vt:variant>
      <vt:variant>
        <vt:i4>0</vt:i4>
      </vt:variant>
      <vt:variant>
        <vt:i4>0</vt:i4>
      </vt:variant>
      <vt:variant>
        <vt:i4>5</vt:i4>
      </vt:variant>
      <vt:variant>
        <vt:lpwstr>http://sao.georgia.gov/year-end-reporting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saotest</dc:creator>
  <cp:keywords/>
  <cp:lastModifiedBy>Coleman, Renita</cp:lastModifiedBy>
  <cp:revision>6</cp:revision>
  <cp:lastPrinted>2015-03-31T13:00:00Z</cp:lastPrinted>
  <dcterms:created xsi:type="dcterms:W3CDTF">2018-04-25T15:01:00Z</dcterms:created>
  <dcterms:modified xsi:type="dcterms:W3CDTF">2019-05-15T19:58:00Z</dcterms:modified>
</cp:coreProperties>
</file>